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07D7" w14:textId="77777777" w:rsidR="00EE6F80" w:rsidRPr="00810E73" w:rsidRDefault="00216813" w:rsidP="00EE6F80">
      <w:pPr>
        <w:jc w:val="center"/>
      </w:pPr>
      <w:r w:rsidRPr="00810E73">
        <w:t xml:space="preserve">Submission </w:t>
      </w:r>
      <w:r w:rsidR="00EE6F80" w:rsidRPr="00810E73">
        <w:t xml:space="preserve">by </w:t>
      </w:r>
      <w:proofErr w:type="spellStart"/>
      <w:r w:rsidR="00EE6F80" w:rsidRPr="00810E73">
        <w:t>Traidcraft</w:t>
      </w:r>
      <w:proofErr w:type="spellEnd"/>
      <w:r w:rsidR="00EE6F80" w:rsidRPr="00810E73">
        <w:t xml:space="preserve"> Exchange</w:t>
      </w:r>
    </w:p>
    <w:p w14:paraId="39A8BC22" w14:textId="370419F6" w:rsidR="00216813" w:rsidRPr="00810E73" w:rsidRDefault="00216813" w:rsidP="00EE6F80">
      <w:pPr>
        <w:jc w:val="center"/>
      </w:pPr>
      <w:r w:rsidRPr="00810E73">
        <w:t xml:space="preserve">to </w:t>
      </w:r>
      <w:r w:rsidR="00651A95">
        <w:t xml:space="preserve">the </w:t>
      </w:r>
      <w:r w:rsidRPr="00810E73">
        <w:t>Commons International Trade Committee inquiry</w:t>
      </w:r>
      <w:r w:rsidR="00EE6F80" w:rsidRPr="00810E73">
        <w:t xml:space="preserve"> into</w:t>
      </w:r>
    </w:p>
    <w:p w14:paraId="640A709B" w14:textId="0FBF5190" w:rsidR="00216813" w:rsidRPr="00810E73" w:rsidRDefault="00216813" w:rsidP="00EE6F80">
      <w:pPr>
        <w:jc w:val="center"/>
      </w:pPr>
      <w:r w:rsidRPr="00810E73">
        <w:t>UK trade negotiations: Agreement with Australia</w:t>
      </w:r>
    </w:p>
    <w:p w14:paraId="24583490" w14:textId="19462E62" w:rsidR="00216813" w:rsidRPr="00810E73" w:rsidRDefault="00216813" w:rsidP="00BD5FA8"/>
    <w:p w14:paraId="346E2AC3" w14:textId="7C706983" w:rsidR="00216813" w:rsidRPr="00810E73" w:rsidRDefault="00216813" w:rsidP="003B185D">
      <w:pPr>
        <w:jc w:val="right"/>
      </w:pPr>
      <w:r w:rsidRPr="00810E73">
        <w:t>14/01/2021</w:t>
      </w:r>
    </w:p>
    <w:p w14:paraId="064876F3" w14:textId="77777777" w:rsidR="00216813" w:rsidRPr="00810E73" w:rsidRDefault="00216813" w:rsidP="00BD5FA8"/>
    <w:p w14:paraId="07B1EA5A" w14:textId="4D004903" w:rsidR="003B185D" w:rsidRPr="00810E73" w:rsidRDefault="003B185D" w:rsidP="00BD5FA8">
      <w:r w:rsidRPr="00810E73">
        <w:t xml:space="preserve">About </w:t>
      </w:r>
      <w:r w:rsidR="00F27944">
        <w:t>this submission</w:t>
      </w:r>
    </w:p>
    <w:p w14:paraId="7977FD47" w14:textId="77777777" w:rsidR="003B185D" w:rsidRPr="00810E73" w:rsidRDefault="003B185D" w:rsidP="00BD5FA8"/>
    <w:p w14:paraId="50A059DE" w14:textId="46DD9F42" w:rsidR="00BD5FA8" w:rsidRPr="00810E73" w:rsidRDefault="00BD5FA8" w:rsidP="00810E73">
      <w:pPr>
        <w:pStyle w:val="ListParagraph"/>
        <w:numPr>
          <w:ilvl w:val="0"/>
          <w:numId w:val="2"/>
        </w:numPr>
      </w:pPr>
      <w:proofErr w:type="spellStart"/>
      <w:r w:rsidRPr="00810E73">
        <w:t>Traidcraft</w:t>
      </w:r>
      <w:proofErr w:type="spellEnd"/>
      <w:r w:rsidRPr="00810E73">
        <w:t xml:space="preserve"> Exchange is the UK’s only development charity dedicated to making trade work</w:t>
      </w:r>
      <w:r w:rsidR="00810E73" w:rsidRPr="00810E73">
        <w:t xml:space="preserve"> </w:t>
      </w:r>
      <w:r w:rsidRPr="00810E73">
        <w:t>for people living in poverty in the global south. It was established in 1995 as the sister</w:t>
      </w:r>
      <w:r w:rsidR="00810E73" w:rsidRPr="00810E73">
        <w:t xml:space="preserve"> </w:t>
      </w:r>
      <w:r w:rsidRPr="00810E73">
        <w:t xml:space="preserve">organisation to the social enterprise </w:t>
      </w:r>
      <w:proofErr w:type="spellStart"/>
      <w:r w:rsidRPr="00810E73">
        <w:t>Traidcraft</w:t>
      </w:r>
      <w:proofErr w:type="spellEnd"/>
      <w:r w:rsidRPr="00810E73">
        <w:t xml:space="preserve"> plc. </w:t>
      </w:r>
      <w:proofErr w:type="spellStart"/>
      <w:r w:rsidRPr="00810E73">
        <w:t>Traidcraft</w:t>
      </w:r>
      <w:proofErr w:type="spellEnd"/>
      <w:r w:rsidRPr="00810E73">
        <w:t xml:space="preserve"> Exchange runs programmes in</w:t>
      </w:r>
      <w:r w:rsidR="00810E73" w:rsidRPr="00810E73">
        <w:t xml:space="preserve"> </w:t>
      </w:r>
      <w:r w:rsidRPr="00810E73">
        <w:t>South Asia and Africa supporting small businesses, farmers, and workers. In the UK we</w:t>
      </w:r>
      <w:r w:rsidR="00810E73" w:rsidRPr="00810E73">
        <w:t xml:space="preserve"> </w:t>
      </w:r>
      <w:r w:rsidRPr="00810E73">
        <w:t>campaign and advocate for improvements in the practices of the UK Government and UK</w:t>
      </w:r>
      <w:r w:rsidR="00810E73" w:rsidRPr="00810E73">
        <w:t xml:space="preserve"> </w:t>
      </w:r>
      <w:r w:rsidRPr="00810E73">
        <w:t>businesses relating to trade.</w:t>
      </w:r>
    </w:p>
    <w:p w14:paraId="54BD3A15" w14:textId="24F3C5D5" w:rsidR="00BD5FA8" w:rsidRPr="00810E73" w:rsidRDefault="00BD5FA8"/>
    <w:p w14:paraId="6C2DC91A" w14:textId="0A64CB12" w:rsidR="00CA4407" w:rsidRPr="00810E73" w:rsidRDefault="00590A31" w:rsidP="00BA2B9D">
      <w:pPr>
        <w:pStyle w:val="ListParagraph"/>
        <w:numPr>
          <w:ilvl w:val="0"/>
          <w:numId w:val="2"/>
        </w:numPr>
      </w:pPr>
      <w:r w:rsidRPr="00810E73">
        <w:t xml:space="preserve">This submission </w:t>
      </w:r>
      <w:r w:rsidR="006C25FA" w:rsidRPr="00810E73">
        <w:t>address</w:t>
      </w:r>
      <w:r w:rsidR="00CA4407" w:rsidRPr="00810E73">
        <w:t>es</w:t>
      </w:r>
      <w:r w:rsidR="006C25FA" w:rsidRPr="00810E73">
        <w:t xml:space="preserve"> the question</w:t>
      </w:r>
      <w:r w:rsidR="00CA4407" w:rsidRPr="00810E73">
        <w:t xml:space="preserve"> - </w:t>
      </w:r>
      <w:r w:rsidR="00046D77" w:rsidRPr="00810E73">
        <w:t>What lessons and inferences for other current and future negotiations can be drawn from how the Government approached, and what it secured in, the FTA with Australia?</w:t>
      </w:r>
      <w:r w:rsidR="00CA4407" w:rsidRPr="00810E73">
        <w:t xml:space="preserve"> - </w:t>
      </w:r>
      <w:proofErr w:type="gramStart"/>
      <w:r w:rsidR="00CA4407" w:rsidRPr="00810E73">
        <w:t>with regard to</w:t>
      </w:r>
      <w:proofErr w:type="gramEnd"/>
      <w:r w:rsidR="00CA4407" w:rsidRPr="00810E73">
        <w:t xml:space="preserve"> climate change</w:t>
      </w:r>
      <w:r w:rsidR="00A40725">
        <w:t xml:space="preserve"> and development.</w:t>
      </w:r>
    </w:p>
    <w:p w14:paraId="611A6B0B" w14:textId="7FB7A66E" w:rsidR="00CA4407" w:rsidRPr="00810E73" w:rsidRDefault="00CA4407" w:rsidP="00046D77"/>
    <w:p w14:paraId="4378CB70" w14:textId="433BA010" w:rsidR="00927F7C" w:rsidRPr="00810E73" w:rsidRDefault="00DF00F2" w:rsidP="00810E73">
      <w:r>
        <w:t>The UK Government’s approach to trade</w:t>
      </w:r>
    </w:p>
    <w:p w14:paraId="2B6EDDCA" w14:textId="77777777" w:rsidR="00927F7C" w:rsidRPr="00810E73" w:rsidRDefault="00927F7C" w:rsidP="00046D77"/>
    <w:p w14:paraId="76E42A1A" w14:textId="487EF60F" w:rsidR="007259D9" w:rsidRPr="00810E73" w:rsidRDefault="005222E4" w:rsidP="00BA2B9D">
      <w:pPr>
        <w:pStyle w:val="ListParagraph"/>
        <w:numPr>
          <w:ilvl w:val="0"/>
          <w:numId w:val="2"/>
        </w:numPr>
      </w:pPr>
      <w:r w:rsidRPr="00810E73">
        <w:t>Climate</w:t>
      </w:r>
      <w:r w:rsidR="001B0D70" w:rsidRPr="00810E73">
        <w:t xml:space="preserve"> change is already hitting the poorest and most vulnerable communities around the world hardest</w:t>
      </w:r>
      <w:r w:rsidR="001E542B" w:rsidRPr="00810E73">
        <w:t xml:space="preserve"> </w:t>
      </w:r>
      <w:r w:rsidR="00962A93" w:rsidRPr="00810E73">
        <w:t>and entrenching global poverty</w:t>
      </w:r>
      <w:r w:rsidR="001E542B" w:rsidRPr="00810E73">
        <w:t>.</w:t>
      </w:r>
      <w:r w:rsidR="00BB0D78" w:rsidRPr="00810E73">
        <w:t xml:space="preserve"> </w:t>
      </w:r>
      <w:proofErr w:type="spellStart"/>
      <w:r w:rsidR="000D6100" w:rsidRPr="00810E73">
        <w:t>Traidcraft</w:t>
      </w:r>
      <w:proofErr w:type="spellEnd"/>
      <w:r w:rsidR="000D6100" w:rsidRPr="00810E73">
        <w:t xml:space="preserve"> Exchange </w:t>
      </w:r>
      <w:r w:rsidR="006F16C9" w:rsidRPr="00810E73">
        <w:t>is committed to working</w:t>
      </w:r>
      <w:r w:rsidR="00B23FF6" w:rsidRPr="00810E73">
        <w:t xml:space="preserve"> with local communities</w:t>
      </w:r>
      <w:r w:rsidR="006F16C9" w:rsidRPr="00810E73">
        <w:t xml:space="preserve"> in the global south</w:t>
      </w:r>
      <w:r w:rsidR="00B23FF6" w:rsidRPr="00810E73">
        <w:t xml:space="preserve"> to </w:t>
      </w:r>
      <w:r w:rsidR="00BA32C9" w:rsidRPr="00810E73">
        <w:t xml:space="preserve">access the benefits of </w:t>
      </w:r>
      <w:r w:rsidR="00AB4A8A" w:rsidRPr="00810E73">
        <w:t xml:space="preserve">trade and </w:t>
      </w:r>
      <w:r w:rsidR="00C56C73" w:rsidRPr="00810E73">
        <w:t xml:space="preserve">adjust to a changing climate. </w:t>
      </w:r>
      <w:r w:rsidR="000608A4" w:rsidRPr="00810E73">
        <w:t>For example</w:t>
      </w:r>
      <w:r w:rsidR="00B43CB1" w:rsidRPr="00810E73">
        <w:t>, we work</w:t>
      </w:r>
      <w:r w:rsidR="00C81869" w:rsidRPr="00810E73">
        <w:t xml:space="preserve"> with </w:t>
      </w:r>
      <w:r w:rsidR="00322BCE" w:rsidRPr="00810E73">
        <w:t xml:space="preserve">textiles </w:t>
      </w:r>
      <w:r w:rsidR="00C81869" w:rsidRPr="00810E73">
        <w:t>artisans</w:t>
      </w:r>
      <w:r w:rsidR="00F01E82" w:rsidRPr="00810E73">
        <w:t xml:space="preserve"> in Northern India, </w:t>
      </w:r>
      <w:r w:rsidR="00C81869" w:rsidRPr="00810E73">
        <w:t xml:space="preserve">a part of the world </w:t>
      </w:r>
      <w:r w:rsidR="00E8726C" w:rsidRPr="00810E73">
        <w:t>that</w:t>
      </w:r>
      <w:r w:rsidR="00C81869" w:rsidRPr="00810E73">
        <w:t xml:space="preserve"> is facing water insecurity</w:t>
      </w:r>
      <w:r w:rsidR="00F01E82" w:rsidRPr="00810E73">
        <w:t>, to reduce the environmental impact of their businesses</w:t>
      </w:r>
      <w:r w:rsidR="000608A4" w:rsidRPr="00810E73">
        <w:t>.</w:t>
      </w:r>
      <w:r w:rsidR="006F16C9" w:rsidRPr="00810E73">
        <w:t xml:space="preserve"> </w:t>
      </w:r>
      <w:r w:rsidR="00DF2FBB" w:rsidRPr="00810E73">
        <w:t xml:space="preserve">It is crucial that the efforts of </w:t>
      </w:r>
      <w:r w:rsidR="008C08C5" w:rsidRPr="00810E73">
        <w:t xml:space="preserve">communities </w:t>
      </w:r>
      <w:r w:rsidR="00345E50">
        <w:t xml:space="preserve">such as these </w:t>
      </w:r>
      <w:r w:rsidR="008C08C5" w:rsidRPr="00810E73">
        <w:t>are supported by a coherent approach to trade</w:t>
      </w:r>
      <w:r w:rsidR="002C52B6">
        <w:t xml:space="preserve">, </w:t>
      </w:r>
      <w:r w:rsidR="00446D9C" w:rsidRPr="00810E73">
        <w:t>climate change</w:t>
      </w:r>
      <w:r w:rsidR="008C08C5" w:rsidRPr="00810E73">
        <w:t xml:space="preserve"> </w:t>
      </w:r>
      <w:r w:rsidR="002C52B6">
        <w:t xml:space="preserve">and development </w:t>
      </w:r>
      <w:r w:rsidR="008C08C5" w:rsidRPr="00810E73">
        <w:t>by the UK Government.</w:t>
      </w:r>
    </w:p>
    <w:p w14:paraId="3D9260E4" w14:textId="77777777" w:rsidR="00CA4407" w:rsidRPr="00810E73" w:rsidRDefault="00CA4407" w:rsidP="00046D77"/>
    <w:p w14:paraId="15750F09" w14:textId="13734685" w:rsidR="00A25118" w:rsidRDefault="00A25118" w:rsidP="00BA2B9D">
      <w:pPr>
        <w:pStyle w:val="ListParagraph"/>
        <w:numPr>
          <w:ilvl w:val="0"/>
          <w:numId w:val="2"/>
        </w:numPr>
      </w:pPr>
      <w:r w:rsidRPr="00810E73">
        <w:t xml:space="preserve">The UK has developed a position as a world-leader on climate change, being the first country to legislate for emissions reductions in 2008, and the first major economy to commit to net zero, in 2019, with ambitious intermediate targets. The Government also achieved significant agreements while hosting this year’s COP26 in </w:t>
      </w:r>
      <w:proofErr w:type="gramStart"/>
      <w:r w:rsidRPr="00810E73">
        <w:t>Glasgow, and</w:t>
      </w:r>
      <w:proofErr w:type="gramEnd"/>
      <w:r w:rsidRPr="00810E73">
        <w:t xml:space="preserve"> holds the presidency for another year.</w:t>
      </w:r>
    </w:p>
    <w:p w14:paraId="685AED92" w14:textId="77777777" w:rsidR="00A53F5A" w:rsidRDefault="00A53F5A" w:rsidP="00A53F5A">
      <w:pPr>
        <w:pStyle w:val="ListParagraph"/>
      </w:pPr>
    </w:p>
    <w:p w14:paraId="161DA304" w14:textId="137F0EC2" w:rsidR="0017098E" w:rsidRDefault="00A53F5A" w:rsidP="00046D77">
      <w:pPr>
        <w:pStyle w:val="ListParagraph"/>
        <w:numPr>
          <w:ilvl w:val="0"/>
          <w:numId w:val="2"/>
        </w:numPr>
      </w:pPr>
      <w:r>
        <w:t xml:space="preserve">The UK has also </w:t>
      </w:r>
      <w:r w:rsidR="00EC7AFF">
        <w:t xml:space="preserve">led the way on </w:t>
      </w:r>
      <w:r w:rsidR="0060511D">
        <w:t xml:space="preserve">global </w:t>
      </w:r>
      <w:r w:rsidR="00EC7AFF">
        <w:t xml:space="preserve">development in </w:t>
      </w:r>
      <w:r w:rsidR="00333C9A">
        <w:t xml:space="preserve">previous years, with a world-leading aid commitment and the work of the Department for International Development, now under the Foreign and Commonwealth Office. The FCDO </w:t>
      </w:r>
      <w:r w:rsidR="0060511D">
        <w:t xml:space="preserve">is still responsible for delivering on the UK’s commitment to the Sustainable Development Goals, which include </w:t>
      </w:r>
      <w:r w:rsidR="00DD2BDA">
        <w:t xml:space="preserve">ending poverty, </w:t>
      </w:r>
      <w:r w:rsidR="00367708">
        <w:t>promoting</w:t>
      </w:r>
      <w:r w:rsidR="00DD2BDA">
        <w:t xml:space="preserve"> sustainable </w:t>
      </w:r>
      <w:r w:rsidR="00367708">
        <w:t>agriculture</w:t>
      </w:r>
      <w:r w:rsidR="00DD2BDA">
        <w:t xml:space="preserve">, </w:t>
      </w:r>
      <w:r w:rsidR="00DA1B1C">
        <w:t>promot</w:t>
      </w:r>
      <w:r w:rsidR="00367708">
        <w:t>ing</w:t>
      </w:r>
      <w:r w:rsidR="00DA1B1C">
        <w:t xml:space="preserve"> work for all, </w:t>
      </w:r>
      <w:r w:rsidR="00147FC3">
        <w:t>and tak</w:t>
      </w:r>
      <w:r w:rsidR="00367708">
        <w:t>ing</w:t>
      </w:r>
      <w:r w:rsidR="00147FC3">
        <w:t xml:space="preserve"> urgent action to combat climate change.</w:t>
      </w:r>
    </w:p>
    <w:p w14:paraId="7D662C2A" w14:textId="77777777" w:rsidR="0060511D" w:rsidRPr="00810E73" w:rsidRDefault="0060511D" w:rsidP="0060511D"/>
    <w:p w14:paraId="5EA38B27" w14:textId="3C09E48E" w:rsidR="007F0905" w:rsidRDefault="0017098E" w:rsidP="00BA2B9D">
      <w:pPr>
        <w:pStyle w:val="ListParagraph"/>
        <w:numPr>
          <w:ilvl w:val="0"/>
          <w:numId w:val="2"/>
        </w:numPr>
      </w:pPr>
      <w:r w:rsidRPr="00810E73">
        <w:t>However, w</w:t>
      </w:r>
      <w:r w:rsidR="002A0EF1" w:rsidRPr="00810E73">
        <w:t xml:space="preserve">e are concerned at the seeming disconnect between the UK Government’s stated objectives on climate change </w:t>
      </w:r>
      <w:r w:rsidR="0060511D">
        <w:t xml:space="preserve">and development </w:t>
      </w:r>
      <w:r w:rsidR="002A0EF1" w:rsidRPr="00810E73">
        <w:t>and its approach to trade post-Brexit</w:t>
      </w:r>
      <w:r w:rsidR="009F4034" w:rsidRPr="00810E73">
        <w:t>, demonstrated in the FTA</w:t>
      </w:r>
      <w:r w:rsidR="00C059A0">
        <w:t xml:space="preserve"> with Australia</w:t>
      </w:r>
      <w:r w:rsidR="009F4034" w:rsidRPr="00810E73">
        <w:t>.</w:t>
      </w:r>
      <w:r w:rsidR="0000729B">
        <w:t xml:space="preserve"> </w:t>
      </w:r>
      <w:r w:rsidR="007F0905">
        <w:t>These concerns fall under:</w:t>
      </w:r>
    </w:p>
    <w:p w14:paraId="431E2D8F" w14:textId="77777777" w:rsidR="007F0905" w:rsidRDefault="007F0905" w:rsidP="007F0905">
      <w:pPr>
        <w:pStyle w:val="ListParagraph"/>
      </w:pPr>
    </w:p>
    <w:p w14:paraId="7467F2CF" w14:textId="649D9406" w:rsidR="00611B39" w:rsidRDefault="007F0905" w:rsidP="007F0905">
      <w:pPr>
        <w:pStyle w:val="ListParagraph"/>
        <w:numPr>
          <w:ilvl w:val="1"/>
          <w:numId w:val="2"/>
        </w:numPr>
      </w:pPr>
      <w:r>
        <w:t>increased emissions</w:t>
      </w:r>
      <w:r w:rsidR="007235DA">
        <w:t xml:space="preserve"> due to FTAs</w:t>
      </w:r>
    </w:p>
    <w:p w14:paraId="00D3B781" w14:textId="77777777" w:rsidR="007F0905" w:rsidRDefault="007F0905" w:rsidP="007F0905"/>
    <w:p w14:paraId="6291721D" w14:textId="1BDCEC83" w:rsidR="007F0905" w:rsidRDefault="007F0905" w:rsidP="007F0905">
      <w:pPr>
        <w:pStyle w:val="ListParagraph"/>
        <w:numPr>
          <w:ilvl w:val="1"/>
          <w:numId w:val="2"/>
        </w:numPr>
      </w:pPr>
      <w:r>
        <w:t>choice of FTA partners</w:t>
      </w:r>
    </w:p>
    <w:p w14:paraId="5165679D" w14:textId="77777777" w:rsidR="007F0905" w:rsidRDefault="007F0905" w:rsidP="007F0905">
      <w:pPr>
        <w:pStyle w:val="ListParagraph"/>
      </w:pPr>
    </w:p>
    <w:p w14:paraId="056A12F1" w14:textId="6C1B2FA3" w:rsidR="007F0905" w:rsidRDefault="007F0905" w:rsidP="007F0905">
      <w:pPr>
        <w:pStyle w:val="ListParagraph"/>
        <w:numPr>
          <w:ilvl w:val="1"/>
          <w:numId w:val="2"/>
        </w:numPr>
      </w:pPr>
      <w:r>
        <w:t>climate content of FTAs</w:t>
      </w:r>
    </w:p>
    <w:p w14:paraId="05E948EC" w14:textId="77777777" w:rsidR="007F0905" w:rsidRDefault="007F0905" w:rsidP="007F0905">
      <w:pPr>
        <w:pStyle w:val="ListParagraph"/>
      </w:pPr>
    </w:p>
    <w:p w14:paraId="69FF6597" w14:textId="5DB7B02A" w:rsidR="007F0905" w:rsidRDefault="007235DA" w:rsidP="007F0905">
      <w:pPr>
        <w:pStyle w:val="ListParagraph"/>
        <w:numPr>
          <w:ilvl w:val="1"/>
          <w:numId w:val="2"/>
        </w:numPr>
      </w:pPr>
      <w:r>
        <w:t>c</w:t>
      </w:r>
      <w:r w:rsidR="007F0905">
        <w:t>limate-related content of FTAs</w:t>
      </w:r>
    </w:p>
    <w:p w14:paraId="4C3E9FA6" w14:textId="77777777" w:rsidR="001F4442" w:rsidRDefault="001F4442" w:rsidP="001F4442">
      <w:pPr>
        <w:pStyle w:val="ListParagraph"/>
      </w:pPr>
    </w:p>
    <w:p w14:paraId="6AEE1F96" w14:textId="2CA4E4E1" w:rsidR="001F4442" w:rsidRDefault="007D7B67" w:rsidP="007F0905">
      <w:pPr>
        <w:pStyle w:val="ListParagraph"/>
        <w:numPr>
          <w:ilvl w:val="1"/>
          <w:numId w:val="2"/>
        </w:numPr>
      </w:pPr>
      <w:r w:rsidRPr="0048644A">
        <w:t>development</w:t>
      </w:r>
      <w:r w:rsidR="0048644A">
        <w:t xml:space="preserve"> content of FTAs</w:t>
      </w:r>
    </w:p>
    <w:p w14:paraId="2207EA21" w14:textId="77777777" w:rsidR="00FE1B07" w:rsidRDefault="00FE1B07" w:rsidP="00FE1B07">
      <w:pPr>
        <w:pStyle w:val="ListParagraph"/>
      </w:pPr>
    </w:p>
    <w:p w14:paraId="4CED668D" w14:textId="176BF4BD" w:rsidR="00FE1B07" w:rsidRPr="0048644A" w:rsidRDefault="00FE1B07" w:rsidP="007F0905">
      <w:pPr>
        <w:pStyle w:val="ListParagraph"/>
        <w:numPr>
          <w:ilvl w:val="1"/>
          <w:numId w:val="2"/>
        </w:numPr>
      </w:pPr>
      <w:r>
        <w:t>development-related FTAs</w:t>
      </w:r>
    </w:p>
    <w:p w14:paraId="307FCB7E" w14:textId="77777777" w:rsidR="007F0905" w:rsidRDefault="007F0905" w:rsidP="007F0905">
      <w:pPr>
        <w:pStyle w:val="ListParagraph"/>
      </w:pPr>
    </w:p>
    <w:p w14:paraId="21896F4E" w14:textId="148B9184" w:rsidR="007F0905" w:rsidRPr="00810E73" w:rsidRDefault="007235DA" w:rsidP="007F0905">
      <w:pPr>
        <w:pStyle w:val="ListParagraph"/>
        <w:numPr>
          <w:ilvl w:val="1"/>
          <w:numId w:val="2"/>
        </w:numPr>
      </w:pPr>
      <w:r>
        <w:t>s</w:t>
      </w:r>
      <w:r w:rsidR="007F0905">
        <w:t>crutiny of FTAs</w:t>
      </w:r>
    </w:p>
    <w:p w14:paraId="3410B4E3" w14:textId="77777777" w:rsidR="00611B39" w:rsidRPr="00810E73" w:rsidRDefault="00611B39" w:rsidP="00046D77"/>
    <w:p w14:paraId="2336930D" w14:textId="20AAD626" w:rsidR="00012A8A" w:rsidRPr="00810E73" w:rsidRDefault="00654BE7" w:rsidP="00BA2B9D">
      <w:pPr>
        <w:pStyle w:val="ListParagraph"/>
        <w:numPr>
          <w:ilvl w:val="0"/>
          <w:numId w:val="2"/>
        </w:numPr>
      </w:pPr>
      <w:r w:rsidRPr="00810E73">
        <w:t>We urge the Government to develop and publish an over-arching trade strategy</w:t>
      </w:r>
      <w:r w:rsidR="004246E5">
        <w:t xml:space="preserve"> </w:t>
      </w:r>
      <w:r w:rsidRPr="00810E73">
        <w:t xml:space="preserve">that aligns with its climate </w:t>
      </w:r>
      <w:r w:rsidR="009C4FC8">
        <w:t xml:space="preserve">and development </w:t>
      </w:r>
      <w:r w:rsidRPr="00810E73">
        <w:t>objectives, to steer its FTA negotiations and other trade policy decisions going forward</w:t>
      </w:r>
      <w:r w:rsidR="00E022CF" w:rsidRPr="00810E73">
        <w:t xml:space="preserve">. Without such a strategy, it is difficult to imagine </w:t>
      </w:r>
      <w:r w:rsidR="00611B39" w:rsidRPr="00810E73">
        <w:t xml:space="preserve">that </w:t>
      </w:r>
      <w:r w:rsidR="00E022CF" w:rsidRPr="00810E73">
        <w:t xml:space="preserve">the </w:t>
      </w:r>
      <w:r w:rsidR="00F06D88" w:rsidRPr="00810E73">
        <w:t>missed opportunities</w:t>
      </w:r>
      <w:r w:rsidR="00611B39" w:rsidRPr="00810E73">
        <w:t xml:space="preserve"> of the </w:t>
      </w:r>
      <w:r w:rsidR="00D83477">
        <w:t xml:space="preserve">FTA </w:t>
      </w:r>
      <w:r w:rsidR="00611B39" w:rsidRPr="00810E73">
        <w:t>with Australia</w:t>
      </w:r>
      <w:r w:rsidR="00F06D88" w:rsidRPr="00810E73">
        <w:t xml:space="preserve"> will</w:t>
      </w:r>
      <w:r w:rsidR="00031995" w:rsidRPr="00810E73">
        <w:t xml:space="preserve"> not</w:t>
      </w:r>
      <w:r w:rsidR="00F06D88" w:rsidRPr="00810E73">
        <w:t xml:space="preserve"> repeat themselves.</w:t>
      </w:r>
    </w:p>
    <w:p w14:paraId="6A3F7E43" w14:textId="573F4946" w:rsidR="0061792D" w:rsidRPr="00810E73" w:rsidRDefault="0061792D" w:rsidP="00046D77"/>
    <w:p w14:paraId="31EAF9CB" w14:textId="2E2F8717" w:rsidR="00927F7C" w:rsidRPr="00810E73" w:rsidRDefault="00DA3470" w:rsidP="00810E73">
      <w:r w:rsidRPr="00810E73">
        <w:t>Increased e</w:t>
      </w:r>
      <w:r w:rsidR="00927F7C" w:rsidRPr="00810E73">
        <w:t>missions</w:t>
      </w:r>
      <w:r w:rsidRPr="00810E73">
        <w:t xml:space="preserve"> due to FTAs</w:t>
      </w:r>
    </w:p>
    <w:p w14:paraId="09FD1F55" w14:textId="77777777" w:rsidR="00927F7C" w:rsidRPr="00810E73" w:rsidRDefault="00927F7C" w:rsidP="00046D77"/>
    <w:p w14:paraId="6E56E9A4" w14:textId="58CD61CE" w:rsidR="00767FC9" w:rsidRPr="00810E73" w:rsidRDefault="009C4FC8" w:rsidP="00435383">
      <w:pPr>
        <w:pStyle w:val="ListParagraph"/>
        <w:numPr>
          <w:ilvl w:val="0"/>
          <w:numId w:val="2"/>
        </w:numPr>
      </w:pPr>
      <w:r>
        <w:t>A</w:t>
      </w:r>
      <w:r w:rsidR="003F5BC1" w:rsidRPr="00810E73">
        <w:t xml:space="preserve">ll FTAs will increase carbon emissions through increased UK production and transport of goods and services, given current technologies. </w:t>
      </w:r>
      <w:r w:rsidR="00D24759" w:rsidRPr="00810E73">
        <w:t xml:space="preserve">For example, the UK-Australia FTA predicts an increase in carbon emissions of 31% to 40% in transport emissions associated with trade with </w:t>
      </w:r>
      <w:proofErr w:type="spellStart"/>
      <w:r w:rsidR="00D24759" w:rsidRPr="00810E73">
        <w:t>Australia.</w:t>
      </w:r>
      <w:r w:rsidR="003F5BC1" w:rsidRPr="00810E73">
        <w:t>This</w:t>
      </w:r>
      <w:proofErr w:type="spellEnd"/>
      <w:r w:rsidR="003F5BC1" w:rsidRPr="00810E73">
        <w:t xml:space="preserve"> is in tension with the UK’s net zero goals and must be addressed through concrete mitigation steps</w:t>
      </w:r>
      <w:r w:rsidR="00D24759" w:rsidRPr="00810E73">
        <w:t xml:space="preserve"> </w:t>
      </w:r>
      <w:r w:rsidR="00C043B3" w:rsidRPr="00810E73">
        <w:t xml:space="preserve">as the UK moves forward with </w:t>
      </w:r>
      <w:r w:rsidR="00D24759" w:rsidRPr="00810E73">
        <w:t>future FTAs.</w:t>
      </w:r>
    </w:p>
    <w:p w14:paraId="14A7CF25" w14:textId="77777777" w:rsidR="003F5BC1" w:rsidRPr="00810E73" w:rsidRDefault="003F5BC1" w:rsidP="003F5BC1"/>
    <w:p w14:paraId="1609DC62" w14:textId="540D10DA" w:rsidR="00E730E4" w:rsidRDefault="003F5BC1" w:rsidP="00435383">
      <w:pPr>
        <w:pStyle w:val="ListParagraph"/>
        <w:numPr>
          <w:ilvl w:val="0"/>
          <w:numId w:val="2"/>
        </w:numPr>
      </w:pPr>
      <w:r w:rsidRPr="00810E73">
        <w:t xml:space="preserve">There is also the issue of consumption emissions from imports, which equal </w:t>
      </w:r>
      <w:hyperlink r:id="rId6" w:history="1">
        <w:r w:rsidRPr="00810E73">
          <w:rPr>
            <w:rStyle w:val="Hyperlink"/>
          </w:rPr>
          <w:t>46% of UK emissions</w:t>
        </w:r>
      </w:hyperlink>
      <w:r w:rsidRPr="00810E73">
        <w:t xml:space="preserve"> and yet are not adjusted for in our progress towards net zero. </w:t>
      </w:r>
      <w:r w:rsidR="00C043B3" w:rsidRPr="00810E73">
        <w:t>In this case, i</w:t>
      </w:r>
      <w:r w:rsidRPr="00810E73">
        <w:t>ncreased trade</w:t>
      </w:r>
      <w:r w:rsidR="00B35752" w:rsidRPr="00810E73">
        <w:t xml:space="preserve"> with Australia</w:t>
      </w:r>
      <w:r w:rsidRPr="00810E73">
        <w:t xml:space="preserve"> </w:t>
      </w:r>
      <w:r w:rsidR="00A43D83">
        <w:t>is predicted to</w:t>
      </w:r>
      <w:r w:rsidRPr="00810E73">
        <w:t xml:space="preserve"> lead to greater imports of carbon-intensive product</w:t>
      </w:r>
      <w:r w:rsidR="00B35752" w:rsidRPr="00810E73">
        <w:t>s, such as Australian beef</w:t>
      </w:r>
      <w:r w:rsidRPr="00810E73">
        <w:t>, and further increase overall UK emissions.</w:t>
      </w:r>
      <w:r w:rsidR="00435383">
        <w:t xml:space="preserve"> </w:t>
      </w:r>
      <w:r w:rsidR="00031995" w:rsidRPr="00810E73">
        <w:t>As part of its trade strategy</w:t>
      </w:r>
      <w:r w:rsidR="00A254A9" w:rsidRPr="00810E73">
        <w:t xml:space="preserve"> and as further FTAs are signed</w:t>
      </w:r>
      <w:r w:rsidR="00031995" w:rsidRPr="00810E73">
        <w:t>, t</w:t>
      </w:r>
      <w:r w:rsidRPr="00810E73">
        <w:t xml:space="preserve">he Government </w:t>
      </w:r>
      <w:r w:rsidR="00031995" w:rsidRPr="00810E73">
        <w:t>must</w:t>
      </w:r>
      <w:r w:rsidRPr="00810E73">
        <w:t xml:space="preserve"> adopt targets for reducing consumption emissions, </w:t>
      </w:r>
      <w:r w:rsidR="00A72CE6" w:rsidRPr="00810E73">
        <w:t xml:space="preserve">and </w:t>
      </w:r>
      <w:r w:rsidR="008075D4" w:rsidRPr="00810E73">
        <w:t xml:space="preserve">measures to </w:t>
      </w:r>
      <w:r w:rsidR="00114D17" w:rsidRPr="00810E73">
        <w:t>ensur</w:t>
      </w:r>
      <w:r w:rsidR="008075D4" w:rsidRPr="00810E73">
        <w:t>e</w:t>
      </w:r>
      <w:r w:rsidR="00114D17" w:rsidRPr="00810E73">
        <w:t xml:space="preserve"> </w:t>
      </w:r>
      <w:r w:rsidR="00D36721" w:rsidRPr="00810E73">
        <w:t>UK consumption</w:t>
      </w:r>
      <w:r w:rsidR="007029A4" w:rsidRPr="00810E73">
        <w:t xml:space="preserve"> reverses </w:t>
      </w:r>
      <w:r w:rsidR="00574B9A" w:rsidRPr="00810E73">
        <w:t>the</w:t>
      </w:r>
      <w:r w:rsidR="007029A4" w:rsidRPr="00810E73">
        <w:t xml:space="preserve"> trend </w:t>
      </w:r>
      <w:r w:rsidR="00574B9A" w:rsidRPr="00810E73">
        <w:t>towards</w:t>
      </w:r>
      <w:r w:rsidR="007029A4" w:rsidRPr="00810E73">
        <w:t xml:space="preserve"> </w:t>
      </w:r>
      <w:r w:rsidR="00D36721" w:rsidRPr="00810E73">
        <w:t>‘offshoring’ production emissions</w:t>
      </w:r>
      <w:r w:rsidR="00767FC9" w:rsidRPr="00810E73">
        <w:t>.</w:t>
      </w:r>
    </w:p>
    <w:p w14:paraId="13584C28" w14:textId="77777777" w:rsidR="00E730E4" w:rsidRDefault="00E730E4" w:rsidP="00E730E4">
      <w:pPr>
        <w:pStyle w:val="ListParagraph"/>
      </w:pPr>
    </w:p>
    <w:p w14:paraId="5A27C1F3" w14:textId="3616716B" w:rsidR="005E70B4" w:rsidRPr="00810E73" w:rsidRDefault="00BF3D80" w:rsidP="00BA2B9D">
      <w:pPr>
        <w:pStyle w:val="ListParagraph"/>
        <w:numPr>
          <w:ilvl w:val="0"/>
          <w:numId w:val="2"/>
        </w:numPr>
      </w:pPr>
      <w:r w:rsidRPr="00810E73">
        <w:t>It must</w:t>
      </w:r>
      <w:r w:rsidR="00B37183" w:rsidRPr="00810E73">
        <w:t xml:space="preserve"> </w:t>
      </w:r>
      <w:r w:rsidR="00767FD7" w:rsidRPr="00810E73">
        <w:t xml:space="preserve">also </w:t>
      </w:r>
      <w:r w:rsidR="00B37183" w:rsidRPr="00810E73">
        <w:t xml:space="preserve">publish clear measures designed to prevent carbon-intensive imports such as Australian beef </w:t>
      </w:r>
      <w:r w:rsidR="0057047B" w:rsidRPr="00810E73">
        <w:t xml:space="preserve">from undercutting UK producers and </w:t>
      </w:r>
      <w:r w:rsidR="00B37183" w:rsidRPr="00810E73">
        <w:t>putting pressure on UK climate standards</w:t>
      </w:r>
      <w:r w:rsidR="0057047B" w:rsidRPr="00810E73">
        <w:t>.</w:t>
      </w:r>
    </w:p>
    <w:p w14:paraId="22E6FA66" w14:textId="705E4EA6" w:rsidR="003F5BC1" w:rsidRPr="00810E73" w:rsidRDefault="003F5BC1" w:rsidP="00046D77"/>
    <w:p w14:paraId="6CFC3994" w14:textId="5330731B" w:rsidR="00DA3470" w:rsidRPr="00810E73" w:rsidRDefault="00DA3470" w:rsidP="00810E73">
      <w:r w:rsidRPr="00810E73">
        <w:t>Choice of FTA partners</w:t>
      </w:r>
    </w:p>
    <w:p w14:paraId="04BCA695" w14:textId="77777777" w:rsidR="00DA3470" w:rsidRPr="00810E73" w:rsidRDefault="00DA3470" w:rsidP="00046D77"/>
    <w:p w14:paraId="11782DB3" w14:textId="5E95851F" w:rsidR="006E0827" w:rsidRPr="00810E73" w:rsidRDefault="00E730E4" w:rsidP="00435383">
      <w:pPr>
        <w:pStyle w:val="ListParagraph"/>
        <w:numPr>
          <w:ilvl w:val="0"/>
          <w:numId w:val="2"/>
        </w:numPr>
      </w:pPr>
      <w:r>
        <w:t>T</w:t>
      </w:r>
      <w:r w:rsidR="0061792D" w:rsidRPr="00810E73">
        <w:t xml:space="preserve">he choice of Australia as partner for the UK’s first ‘new’ trade deal </w:t>
      </w:r>
      <w:r w:rsidR="00767FC9" w:rsidRPr="00810E73">
        <w:t>poses</w:t>
      </w:r>
      <w:r w:rsidR="0061792D" w:rsidRPr="00810E73">
        <w:t xml:space="preserve"> serious questions</w:t>
      </w:r>
      <w:r w:rsidR="00A42472" w:rsidRPr="00810E73">
        <w:t xml:space="preserve"> about the Government’s priorities</w:t>
      </w:r>
      <w:r w:rsidR="000A7837" w:rsidRPr="00810E73">
        <w:t>.</w:t>
      </w:r>
      <w:r w:rsidR="00435383">
        <w:t xml:space="preserve"> </w:t>
      </w:r>
      <w:r w:rsidR="00C23CA9" w:rsidRPr="00810E73">
        <w:t xml:space="preserve">Australia is rated </w:t>
      </w:r>
      <w:r w:rsidR="0073499F" w:rsidRPr="00810E73">
        <w:t xml:space="preserve">‘highly insufficient’ by </w:t>
      </w:r>
      <w:hyperlink r:id="rId7" w:history="1">
        <w:r w:rsidR="0073499F" w:rsidRPr="00810E73">
          <w:rPr>
            <w:rStyle w:val="Hyperlink"/>
          </w:rPr>
          <w:t>Climate Action Tracker</w:t>
        </w:r>
      </w:hyperlink>
      <w:r w:rsidR="0073499F" w:rsidRPr="00810E73">
        <w:t>,</w:t>
      </w:r>
      <w:r w:rsidR="000A5B36" w:rsidRPr="00810E73">
        <w:t xml:space="preserve"> and scored worst out of</w:t>
      </w:r>
      <w:r w:rsidR="00942459" w:rsidRPr="00810E73">
        <w:t xml:space="preserve"> 193 countries for climate action in the UN’s </w:t>
      </w:r>
      <w:hyperlink r:id="rId8" w:history="1">
        <w:r w:rsidR="00942459" w:rsidRPr="00810E73">
          <w:rPr>
            <w:rStyle w:val="Hyperlink"/>
          </w:rPr>
          <w:t>Sustainable Development Report</w:t>
        </w:r>
      </w:hyperlink>
      <w:r w:rsidR="00942459" w:rsidRPr="00810E73">
        <w:t xml:space="preserve"> for 2021.</w:t>
      </w:r>
      <w:r w:rsidR="0073499F" w:rsidRPr="00810E73">
        <w:t xml:space="preserve"> </w:t>
      </w:r>
      <w:r w:rsidR="009F7613" w:rsidRPr="00810E73">
        <w:t xml:space="preserve">Its emissions per capita are </w:t>
      </w:r>
      <w:r w:rsidR="0003074A" w:rsidRPr="00810E73">
        <w:t>among the highest in the world, behind only several</w:t>
      </w:r>
      <w:r w:rsidR="009F7613" w:rsidRPr="00810E73">
        <w:t xml:space="preserve"> Arab states and Canada according to the </w:t>
      </w:r>
      <w:hyperlink r:id="rId9" w:history="1">
        <w:r w:rsidR="009F7613" w:rsidRPr="00810E73">
          <w:rPr>
            <w:rStyle w:val="Hyperlink"/>
          </w:rPr>
          <w:t>World Bank</w:t>
        </w:r>
      </w:hyperlink>
      <w:r w:rsidR="009F7613" w:rsidRPr="00810E73">
        <w:t>.</w:t>
      </w:r>
      <w:r w:rsidR="002E14A6" w:rsidRPr="00810E73">
        <w:t xml:space="preserve"> Australia’s </w:t>
      </w:r>
      <w:r w:rsidR="004B67C4" w:rsidRPr="00810E73">
        <w:t>emissions reductions target by 2030 is only 2</w:t>
      </w:r>
      <w:r w:rsidR="00E36498" w:rsidRPr="00810E73">
        <w:t>6</w:t>
      </w:r>
      <w:r w:rsidR="004B67C4" w:rsidRPr="00810E73">
        <w:t xml:space="preserve">%, </w:t>
      </w:r>
      <w:r w:rsidR="00E36498" w:rsidRPr="00810E73">
        <w:t xml:space="preserve">half of that pledged by </w:t>
      </w:r>
      <w:r w:rsidR="004B67C4" w:rsidRPr="00810E73">
        <w:t>other developed countries. And i</w:t>
      </w:r>
      <w:r w:rsidR="00FF305E" w:rsidRPr="00810E73">
        <w:t xml:space="preserve">ts </w:t>
      </w:r>
      <w:r w:rsidR="004B67C4" w:rsidRPr="00810E73">
        <w:t xml:space="preserve">plan to achieve </w:t>
      </w:r>
      <w:r w:rsidR="00FF305E" w:rsidRPr="00810E73">
        <w:t xml:space="preserve">net zero by 2050, announced just before COP26, </w:t>
      </w:r>
      <w:r w:rsidR="004B67C4" w:rsidRPr="00810E73">
        <w:t>has been</w:t>
      </w:r>
      <w:r w:rsidR="001B2379" w:rsidRPr="00810E73">
        <w:t xml:space="preserve"> heavily criticised for reliance </w:t>
      </w:r>
      <w:r w:rsidR="004B67C4" w:rsidRPr="00810E73">
        <w:t xml:space="preserve">on </w:t>
      </w:r>
      <w:r w:rsidR="00EC4A5E" w:rsidRPr="00810E73">
        <w:t xml:space="preserve">as-yet-undeveloped technology, </w:t>
      </w:r>
      <w:r w:rsidR="00AC0C74" w:rsidRPr="00810E73">
        <w:t>offsets, and ‘global trends’</w:t>
      </w:r>
      <w:r w:rsidR="004B67C4" w:rsidRPr="00810E73">
        <w:t xml:space="preserve">, with </w:t>
      </w:r>
      <w:r w:rsidR="00C6722C" w:rsidRPr="00810E73">
        <w:t xml:space="preserve">a continued reliance on coal </w:t>
      </w:r>
      <w:r w:rsidR="00F949F5" w:rsidRPr="00810E73">
        <w:t xml:space="preserve">and gas </w:t>
      </w:r>
      <w:r w:rsidR="00C6722C" w:rsidRPr="00810E73">
        <w:t>for both export revenue and domestic electricity production.</w:t>
      </w:r>
      <w:r w:rsidR="003E0257" w:rsidRPr="00810E73">
        <w:t xml:space="preserve"> Deforestation, driven by </w:t>
      </w:r>
      <w:r w:rsidR="00E22227" w:rsidRPr="00810E73">
        <w:t>beef production</w:t>
      </w:r>
      <w:r w:rsidR="00BD39DC" w:rsidRPr="00810E73">
        <w:t xml:space="preserve"> – which is set to increase under the FTA with the UK - </w:t>
      </w:r>
      <w:r w:rsidR="001F781C" w:rsidRPr="00810E73">
        <w:t>continues at a</w:t>
      </w:r>
      <w:r w:rsidR="006E0827" w:rsidRPr="00810E73">
        <w:t xml:space="preserve"> concerning</w:t>
      </w:r>
      <w:r w:rsidR="001F781C" w:rsidRPr="00810E73">
        <w:t xml:space="preserve"> rate</w:t>
      </w:r>
      <w:r w:rsidR="006E0827" w:rsidRPr="00810E73">
        <w:t xml:space="preserve">, with </w:t>
      </w:r>
      <w:r w:rsidR="001F781C" w:rsidRPr="00810E73">
        <w:t xml:space="preserve">Australia the only OECD country </w:t>
      </w:r>
      <w:r w:rsidR="006E0827" w:rsidRPr="00810E73">
        <w:t xml:space="preserve">labelled a ‘deforestation hotspot’ by </w:t>
      </w:r>
      <w:hyperlink r:id="rId10" w:history="1">
        <w:r w:rsidR="006E0827" w:rsidRPr="00A146FA">
          <w:rPr>
            <w:rStyle w:val="Hyperlink"/>
          </w:rPr>
          <w:t>WWF</w:t>
        </w:r>
      </w:hyperlink>
      <w:r w:rsidR="006E0827" w:rsidRPr="00810E73">
        <w:t xml:space="preserve"> in 2021.</w:t>
      </w:r>
    </w:p>
    <w:p w14:paraId="42DE4611" w14:textId="77777777" w:rsidR="00F412AA" w:rsidRPr="00810E73" w:rsidRDefault="00F412AA" w:rsidP="00046D77"/>
    <w:p w14:paraId="1CBCD3DB" w14:textId="48E0BB2D" w:rsidR="00EC4A5E" w:rsidRPr="00810E73" w:rsidRDefault="00C66FE6" w:rsidP="00BA2B9D">
      <w:pPr>
        <w:pStyle w:val="ListParagraph"/>
        <w:numPr>
          <w:ilvl w:val="0"/>
          <w:numId w:val="2"/>
        </w:numPr>
      </w:pPr>
      <w:r w:rsidRPr="00810E73">
        <w:t xml:space="preserve">These concerns have now been heightened by the Government’s decision to move forward </w:t>
      </w:r>
      <w:r w:rsidR="00410D4E" w:rsidRPr="00810E73">
        <w:t xml:space="preserve">with efforts to conclude an FTA with the Gulf Cooperation Council (GCC), who fare equally </w:t>
      </w:r>
      <w:r w:rsidR="00750F2C" w:rsidRPr="00810E73">
        <w:lastRenderedPageBreak/>
        <w:t>badly</w:t>
      </w:r>
      <w:r w:rsidR="00410D4E" w:rsidRPr="00810E73">
        <w:t xml:space="preserve"> </w:t>
      </w:r>
      <w:proofErr w:type="gramStart"/>
      <w:r w:rsidR="00BA1D7D" w:rsidRPr="00810E73">
        <w:t>in regards to</w:t>
      </w:r>
      <w:proofErr w:type="gramEnd"/>
      <w:r w:rsidR="00BA1D7D" w:rsidRPr="00810E73">
        <w:t xml:space="preserve"> their climate record.</w:t>
      </w:r>
      <w:r w:rsidR="000216B7" w:rsidRPr="00810E73">
        <w:t xml:space="preserve"> Offering trade deals to </w:t>
      </w:r>
      <w:r w:rsidR="00C2755C" w:rsidRPr="00810E73">
        <w:t xml:space="preserve">such </w:t>
      </w:r>
      <w:r w:rsidR="000216B7" w:rsidRPr="00810E73">
        <w:t xml:space="preserve">countries </w:t>
      </w:r>
      <w:r w:rsidR="00C014E0" w:rsidRPr="00810E73">
        <w:t>undermines the UK’s position as a global leader on climate</w:t>
      </w:r>
      <w:r w:rsidR="00BD059E">
        <w:t xml:space="preserve"> </w:t>
      </w:r>
      <w:r w:rsidR="00C014E0" w:rsidRPr="00810E73">
        <w:t>and sends entirely the wrong message to our trading partners</w:t>
      </w:r>
      <w:r w:rsidR="009522A7" w:rsidRPr="00810E73">
        <w:t xml:space="preserve"> and </w:t>
      </w:r>
      <w:r w:rsidR="00916B3B" w:rsidRPr="00810E73">
        <w:t xml:space="preserve">to </w:t>
      </w:r>
      <w:r w:rsidR="009522A7" w:rsidRPr="00810E73">
        <w:t>countries the UK would hope to influence in multilateral climate talks.</w:t>
      </w:r>
    </w:p>
    <w:p w14:paraId="3CACC9B2" w14:textId="544F5873" w:rsidR="00012A8A" w:rsidRPr="00810E73" w:rsidRDefault="00012A8A" w:rsidP="00046D77"/>
    <w:p w14:paraId="03012812" w14:textId="526B25C9" w:rsidR="00DA3470" w:rsidRPr="00810E73" w:rsidRDefault="00DA3470" w:rsidP="007F0905">
      <w:r w:rsidRPr="00810E73">
        <w:t>Climate content of FTAs</w:t>
      </w:r>
    </w:p>
    <w:p w14:paraId="73956B81" w14:textId="77777777" w:rsidR="00DA3470" w:rsidRPr="00810E73" w:rsidRDefault="00DA3470" w:rsidP="00046D77"/>
    <w:p w14:paraId="68D52699" w14:textId="6314014E" w:rsidR="00F77860" w:rsidRPr="00810E73" w:rsidRDefault="00BD059E" w:rsidP="00BA2B9D">
      <w:pPr>
        <w:pStyle w:val="ListParagraph"/>
        <w:numPr>
          <w:ilvl w:val="0"/>
          <w:numId w:val="2"/>
        </w:numPr>
      </w:pPr>
      <w:r>
        <w:t>T</w:t>
      </w:r>
      <w:r w:rsidR="000A7837" w:rsidRPr="00810E73">
        <w:t>he outcome</w:t>
      </w:r>
      <w:r w:rsidR="007D5A42" w:rsidRPr="00810E73">
        <w:t>s</w:t>
      </w:r>
      <w:r w:rsidR="000A7837" w:rsidRPr="00810E73">
        <w:t xml:space="preserve"> of</w:t>
      </w:r>
      <w:r w:rsidR="007D5A42" w:rsidRPr="00810E73">
        <w:t xml:space="preserve"> the Agreement in Principle and now</w:t>
      </w:r>
      <w:r w:rsidR="000A7837" w:rsidRPr="00810E73">
        <w:t xml:space="preserve"> the </w:t>
      </w:r>
      <w:r w:rsidR="002823E6" w:rsidRPr="00810E73">
        <w:t xml:space="preserve">FTA </w:t>
      </w:r>
      <w:r w:rsidR="007D5A42" w:rsidRPr="00810E73">
        <w:t xml:space="preserve">with Australia </w:t>
      </w:r>
      <w:r w:rsidR="000A7837" w:rsidRPr="00810E73">
        <w:t>suggest that</w:t>
      </w:r>
      <w:r w:rsidR="005D2676" w:rsidRPr="00810E73">
        <w:t xml:space="preserve">, in trade negotiations with partners with poor records on climate, the UK is either unwilling or unable to secure concessions that </w:t>
      </w:r>
      <w:r w:rsidR="00266E14" w:rsidRPr="00810E73">
        <w:t>would mean genuine progress</w:t>
      </w:r>
      <w:r w:rsidR="004A4066" w:rsidRPr="00810E73">
        <w:t xml:space="preserve"> with countries with poor climate records.</w:t>
      </w:r>
      <w:r w:rsidR="00B027EB" w:rsidRPr="00810E73">
        <w:t xml:space="preserve"> </w:t>
      </w:r>
      <w:r w:rsidR="001A4FA5" w:rsidRPr="00810E73">
        <w:t xml:space="preserve">This bodes poorly for </w:t>
      </w:r>
      <w:r w:rsidR="008A719E" w:rsidRPr="00810E73">
        <w:t>negotiations</w:t>
      </w:r>
      <w:r w:rsidR="001A4FA5" w:rsidRPr="00810E73">
        <w:t xml:space="preserve"> with</w:t>
      </w:r>
      <w:r w:rsidR="001B216D" w:rsidRPr="00810E73">
        <w:t xml:space="preserve"> the GCC.</w:t>
      </w:r>
    </w:p>
    <w:p w14:paraId="527B8371" w14:textId="77777777" w:rsidR="00F77860" w:rsidRPr="00810E73" w:rsidRDefault="00F77860" w:rsidP="001A4FA5"/>
    <w:p w14:paraId="0BD2EED5" w14:textId="06E9345E" w:rsidR="00F77860" w:rsidRPr="00810E73" w:rsidRDefault="001C08BB" w:rsidP="00BA2B9D">
      <w:pPr>
        <w:pStyle w:val="ListParagraph"/>
        <w:numPr>
          <w:ilvl w:val="0"/>
          <w:numId w:val="2"/>
        </w:numPr>
      </w:pPr>
      <w:r>
        <w:t xml:space="preserve">The language in the </w:t>
      </w:r>
      <w:r w:rsidR="003640D4" w:rsidRPr="00810E73">
        <w:t>Environment Chapter</w:t>
      </w:r>
      <w:r w:rsidR="00ED7C6A">
        <w:t xml:space="preserve"> of the FTA with Australia</w:t>
      </w:r>
      <w:r>
        <w:t xml:space="preserve"> is weak and disappointing. P</w:t>
      </w:r>
      <w:r w:rsidR="00ED7C6A">
        <w:t>rovisions</w:t>
      </w:r>
      <w:r w:rsidR="00D04F54" w:rsidRPr="00810E73">
        <w:t xml:space="preserve"> </w:t>
      </w:r>
      <w:r>
        <w:t>include only that</w:t>
      </w:r>
      <w:r w:rsidR="00D04F54" w:rsidRPr="00810E73">
        <w:t xml:space="preserve"> the parties will ‘strive to… continue to improve </w:t>
      </w:r>
      <w:r w:rsidR="00B261CE">
        <w:t>(their)</w:t>
      </w:r>
      <w:r w:rsidR="00D04F54" w:rsidRPr="00810E73">
        <w:t xml:space="preserve"> respective levels of environmental protection’ </w:t>
      </w:r>
      <w:r w:rsidR="003B209F" w:rsidRPr="00810E73">
        <w:t xml:space="preserve">and ‘affirm (their) commitment to implement the multilateral </w:t>
      </w:r>
      <w:r w:rsidR="00256D9E" w:rsidRPr="00810E73">
        <w:t>environmental</w:t>
      </w:r>
      <w:r w:rsidR="003B209F" w:rsidRPr="00810E73">
        <w:t xml:space="preserve"> agreements to which (they are) a party’</w:t>
      </w:r>
      <w:r w:rsidR="00256D9E" w:rsidRPr="00810E73">
        <w:t>… ‘including under the UNFCCC… and the Paris Agreement</w:t>
      </w:r>
      <w:r w:rsidR="00C00F9B">
        <w:t xml:space="preserve">; and </w:t>
      </w:r>
      <w:proofErr w:type="gramStart"/>
      <w:r w:rsidR="00C00F9B">
        <w:t>also</w:t>
      </w:r>
      <w:proofErr w:type="gramEnd"/>
      <w:r w:rsidR="00C00F9B">
        <w:t xml:space="preserve"> to ‘</w:t>
      </w:r>
      <w:r w:rsidR="00177A9B" w:rsidRPr="00810E73">
        <w:t>cooperate to address’ climate</w:t>
      </w:r>
      <w:r w:rsidR="00C00F9B">
        <w:t>-</w:t>
      </w:r>
      <w:r w:rsidR="00177A9B" w:rsidRPr="00810E73">
        <w:t>related matters.</w:t>
      </w:r>
    </w:p>
    <w:p w14:paraId="318280B1" w14:textId="77777777" w:rsidR="00F77860" w:rsidRPr="00810E73" w:rsidRDefault="00F77860" w:rsidP="001A4FA5"/>
    <w:p w14:paraId="1C0074BE" w14:textId="54058C65" w:rsidR="00481988" w:rsidRDefault="00DE39B5" w:rsidP="009428C0">
      <w:pPr>
        <w:pStyle w:val="ListParagraph"/>
        <w:numPr>
          <w:ilvl w:val="0"/>
          <w:numId w:val="2"/>
        </w:numPr>
      </w:pPr>
      <w:r>
        <w:t xml:space="preserve">Crucial language is missing, such as around the </w:t>
      </w:r>
      <w:r w:rsidR="00097CB7" w:rsidRPr="00810E73">
        <w:t xml:space="preserve">need to limit warming to 1.5’C – the goal of the UK-hosted COP just last year </w:t>
      </w:r>
      <w:r w:rsidR="008377DF" w:rsidRPr="00810E73">
        <w:t>–</w:t>
      </w:r>
      <w:r w:rsidR="00097CB7" w:rsidRPr="00810E73">
        <w:t xml:space="preserve"> </w:t>
      </w:r>
      <w:r w:rsidR="008377DF" w:rsidRPr="00810E73">
        <w:t>or to improve national emissions reductions targets in line with this goal</w:t>
      </w:r>
      <w:r w:rsidR="00CB38FD" w:rsidRPr="00810E73">
        <w:t>.</w:t>
      </w:r>
      <w:r w:rsidR="007A3CAB" w:rsidRPr="007A3CAB">
        <w:t xml:space="preserve"> </w:t>
      </w:r>
      <w:r w:rsidR="007A3CAB">
        <w:t xml:space="preserve">There is no </w:t>
      </w:r>
      <w:r w:rsidR="00623EBA">
        <w:t>commitment to</w:t>
      </w:r>
      <w:r w:rsidR="007A3CAB">
        <w:t xml:space="preserve"> the monitoring of the climate impacts of the FTA, and the </w:t>
      </w:r>
      <w:r w:rsidR="007A3CAB" w:rsidRPr="00810E73">
        <w:t xml:space="preserve">suspension of </w:t>
      </w:r>
      <w:r w:rsidR="00623EBA">
        <w:t>its provisions as needed.</w:t>
      </w:r>
    </w:p>
    <w:p w14:paraId="4C7D68E9" w14:textId="77777777" w:rsidR="00203473" w:rsidRPr="00810E73" w:rsidRDefault="00203473" w:rsidP="00481988"/>
    <w:p w14:paraId="09EA9C69" w14:textId="0054940F" w:rsidR="00013D74" w:rsidRDefault="00C973AC" w:rsidP="00013D74">
      <w:pPr>
        <w:pStyle w:val="ListParagraph"/>
        <w:numPr>
          <w:ilvl w:val="0"/>
          <w:numId w:val="2"/>
        </w:numPr>
      </w:pPr>
      <w:r w:rsidRPr="00810E73">
        <w:t>There is also no mention of agriculture</w:t>
      </w:r>
      <w:r w:rsidR="00A2240D" w:rsidRPr="00810E73">
        <w:t xml:space="preserve">, </w:t>
      </w:r>
      <w:r w:rsidR="00674A50" w:rsidRPr="00810E73">
        <w:t xml:space="preserve">despite its </w:t>
      </w:r>
      <w:r w:rsidR="00970EFF" w:rsidRPr="00810E73">
        <w:t>centrality to efforts to address</w:t>
      </w:r>
      <w:r w:rsidR="00D46C43" w:rsidRPr="00810E73">
        <w:t xml:space="preserve"> deforestation and emissions</w:t>
      </w:r>
      <w:r w:rsidR="00A71763">
        <w:t xml:space="preserve">, or of </w:t>
      </w:r>
      <w:r w:rsidR="001402BB" w:rsidRPr="00810E73">
        <w:t>fossil fuels</w:t>
      </w:r>
      <w:r w:rsidR="002F78A8" w:rsidRPr="00810E73">
        <w:t>.</w:t>
      </w:r>
      <w:r w:rsidR="00013D74">
        <w:t xml:space="preserve"> </w:t>
      </w:r>
      <w:r w:rsidR="00055A95" w:rsidRPr="00810E73">
        <w:t xml:space="preserve">These </w:t>
      </w:r>
      <w:r w:rsidR="005B3B6E" w:rsidRPr="00810E73">
        <w:t xml:space="preserve">striking omissions </w:t>
      </w:r>
      <w:proofErr w:type="gramStart"/>
      <w:r w:rsidR="005B3B6E" w:rsidRPr="00810E73">
        <w:t xml:space="preserve">are in </w:t>
      </w:r>
      <w:r w:rsidR="00055A95" w:rsidRPr="00810E73">
        <w:t>contrast</w:t>
      </w:r>
      <w:r w:rsidR="006F48A5" w:rsidRPr="00810E73">
        <w:t xml:space="preserve"> </w:t>
      </w:r>
      <w:r w:rsidR="005B3B6E" w:rsidRPr="00810E73">
        <w:t>to</w:t>
      </w:r>
      <w:proofErr w:type="gramEnd"/>
      <w:r w:rsidR="005B3B6E" w:rsidRPr="00810E73">
        <w:t xml:space="preserve"> the Agreement in Principle </w:t>
      </w:r>
      <w:r w:rsidR="004C65BC" w:rsidRPr="00810E73">
        <w:t xml:space="preserve">reached with New Zealand last year, which </w:t>
      </w:r>
      <w:r w:rsidR="00C220F5" w:rsidRPr="00810E73">
        <w:t>pledges</w:t>
      </w:r>
      <w:r w:rsidR="004C65BC" w:rsidRPr="00810E73">
        <w:t xml:space="preserve"> to include in </w:t>
      </w:r>
      <w:r w:rsidR="00A71763">
        <w:t>that</w:t>
      </w:r>
      <w:r w:rsidR="004C65BC" w:rsidRPr="00810E73">
        <w:t xml:space="preserve"> FTA </w:t>
      </w:r>
      <w:r w:rsidR="00C220F5" w:rsidRPr="00810E73">
        <w:t>‘</w:t>
      </w:r>
      <w:r w:rsidR="0006763E" w:rsidRPr="00810E73">
        <w:t>commitments</w:t>
      </w:r>
      <w:r w:rsidR="00C220F5" w:rsidRPr="00810E73">
        <w:t xml:space="preserve">… </w:t>
      </w:r>
      <w:r w:rsidR="00543614" w:rsidRPr="00810E73">
        <w:t>to t</w:t>
      </w:r>
      <w:r w:rsidR="004C65BC" w:rsidRPr="00810E73">
        <w:t>ransition away from fossil fuels, including ending unabated coal-fired electricity generation, and taking steps to eliminate fossil fuel subsidies</w:t>
      </w:r>
      <w:r w:rsidR="00C220F5" w:rsidRPr="00810E73">
        <w:t>… and ‘on sustainable agriculture.’</w:t>
      </w:r>
    </w:p>
    <w:p w14:paraId="087F0D8A" w14:textId="77777777" w:rsidR="00013D74" w:rsidRDefault="00013D74" w:rsidP="00013D74">
      <w:pPr>
        <w:pStyle w:val="ListParagraph"/>
      </w:pPr>
    </w:p>
    <w:p w14:paraId="2800A9CD" w14:textId="6D83C4F3" w:rsidR="00E606AF" w:rsidRPr="00810E73" w:rsidRDefault="00CE545F" w:rsidP="009D5B53">
      <w:pPr>
        <w:pStyle w:val="ListParagraph"/>
        <w:numPr>
          <w:ilvl w:val="0"/>
          <w:numId w:val="2"/>
        </w:numPr>
      </w:pPr>
      <w:r w:rsidRPr="00810E73">
        <w:t>Th</w:t>
      </w:r>
      <w:r w:rsidR="00A20FC4" w:rsidRPr="00810E73">
        <w:t xml:space="preserve">is </w:t>
      </w:r>
      <w:r w:rsidR="007B3E06" w:rsidRPr="00810E73">
        <w:t>reflects more of the gold standard trade deal the UK Government should be pushing for</w:t>
      </w:r>
      <w:r w:rsidR="00D96F41" w:rsidRPr="00810E73">
        <w:t xml:space="preserve"> with all trading partners</w:t>
      </w:r>
      <w:r w:rsidR="007B3E06" w:rsidRPr="00810E73">
        <w:t xml:space="preserve">, </w:t>
      </w:r>
      <w:r w:rsidR="0000291F" w:rsidRPr="00810E73">
        <w:t xml:space="preserve">but that is unlikely to be secured by the current </w:t>
      </w:r>
      <w:r w:rsidR="00A20FC4" w:rsidRPr="00810E73">
        <w:t>piecemeal approac</w:t>
      </w:r>
      <w:r w:rsidR="0000291F" w:rsidRPr="00810E73">
        <w:t>h</w:t>
      </w:r>
      <w:r w:rsidR="0053263E" w:rsidRPr="00810E73">
        <w:t xml:space="preserve">. </w:t>
      </w:r>
      <w:r w:rsidR="00E606AF">
        <w:t xml:space="preserve">Indeed, failing </w:t>
      </w:r>
      <w:r w:rsidR="004D68CD" w:rsidRPr="00810E73">
        <w:t xml:space="preserve">to secure more ambitious language in the agreement with Australia </w:t>
      </w:r>
      <w:r w:rsidR="00E606AF">
        <w:t>may now</w:t>
      </w:r>
      <w:r w:rsidR="004D68CD" w:rsidRPr="00810E73">
        <w:t xml:space="preserve"> makes it less likely that the UK can press other</w:t>
      </w:r>
      <w:r w:rsidR="00E606AF">
        <w:t xml:space="preserve">, similar </w:t>
      </w:r>
      <w:r w:rsidR="004D68CD" w:rsidRPr="00810E73">
        <w:t>countries to accept such language.</w:t>
      </w:r>
    </w:p>
    <w:p w14:paraId="6F410556" w14:textId="20BE459F" w:rsidR="003B209F" w:rsidRPr="00810E73" w:rsidRDefault="003B209F" w:rsidP="001A4FA5"/>
    <w:p w14:paraId="3E81A221" w14:textId="38482EF0" w:rsidR="00AE7638" w:rsidRPr="00810E73" w:rsidRDefault="00AE7638" w:rsidP="00810E73">
      <w:r w:rsidRPr="00810E73">
        <w:t xml:space="preserve">Climate-related content </w:t>
      </w:r>
      <w:r w:rsidR="007F0905">
        <w:t>of</w:t>
      </w:r>
      <w:r w:rsidRPr="00810E73">
        <w:t xml:space="preserve"> FTAs</w:t>
      </w:r>
    </w:p>
    <w:p w14:paraId="1F45B471" w14:textId="77777777" w:rsidR="00AE7638" w:rsidRPr="00810E73" w:rsidRDefault="00AE7638" w:rsidP="001A4FA5"/>
    <w:p w14:paraId="092270A2" w14:textId="3914266D" w:rsidR="00557BE4" w:rsidRPr="00810E73" w:rsidRDefault="00AE7638" w:rsidP="00BA2B9D">
      <w:pPr>
        <w:pStyle w:val="ListParagraph"/>
        <w:numPr>
          <w:ilvl w:val="0"/>
          <w:numId w:val="2"/>
        </w:numPr>
      </w:pPr>
      <w:r w:rsidRPr="00810E73">
        <w:rPr>
          <w:lang w:val="en-US"/>
        </w:rPr>
        <w:t>W</w:t>
      </w:r>
      <w:proofErr w:type="spellStart"/>
      <w:r w:rsidR="00CA4399" w:rsidRPr="00810E73">
        <w:t>e</w:t>
      </w:r>
      <w:proofErr w:type="spellEnd"/>
      <w:r w:rsidR="00CA4399" w:rsidRPr="00810E73">
        <w:t xml:space="preserve"> are glad to see that the </w:t>
      </w:r>
      <w:r w:rsidR="006A33D9">
        <w:t>FTA</w:t>
      </w:r>
      <w:r w:rsidR="00A068AF" w:rsidRPr="00810E73">
        <w:t>, a</w:t>
      </w:r>
      <w:r w:rsidR="00835F13" w:rsidRPr="00810E73">
        <w:t>s in the Agreement in Principle,</w:t>
      </w:r>
      <w:r w:rsidR="00B44A79" w:rsidRPr="00810E73">
        <w:t xml:space="preserve"> does not include Investor State Dispute Settlement (ISDS</w:t>
      </w:r>
      <w:r w:rsidR="00F77860" w:rsidRPr="00810E73">
        <w:t xml:space="preserve">) </w:t>
      </w:r>
      <w:r w:rsidR="00B44A79" w:rsidRPr="00810E73">
        <w:t>provisions</w:t>
      </w:r>
      <w:r w:rsidR="00557BE4" w:rsidRPr="00810E73">
        <w:t xml:space="preserve">. In the past two decades, the interpretation of these laws has been broadened to </w:t>
      </w:r>
      <w:r w:rsidR="00C145AC">
        <w:t>allow</w:t>
      </w:r>
      <w:r w:rsidR="007F0E5E">
        <w:t xml:space="preserve"> corporations</w:t>
      </w:r>
      <w:r w:rsidR="00557BE4" w:rsidRPr="00810E73">
        <w:t xml:space="preserve"> compensation for the impact of government policies on future profit expectations, effectively removing the right of a government to regulate in the public interest without risking huge fines. This includes essential action to address climate change.</w:t>
      </w:r>
    </w:p>
    <w:p w14:paraId="0947AFA7" w14:textId="77777777" w:rsidR="00557BE4" w:rsidRPr="00810E73" w:rsidRDefault="00557BE4" w:rsidP="00557BE4"/>
    <w:p w14:paraId="1E2A4102" w14:textId="77777777" w:rsidR="00557BE4" w:rsidRPr="00810E73" w:rsidRDefault="00557BE4" w:rsidP="00BA2B9D">
      <w:pPr>
        <w:pStyle w:val="ListParagraph"/>
        <w:numPr>
          <w:ilvl w:val="0"/>
          <w:numId w:val="2"/>
        </w:numPr>
      </w:pPr>
      <w:r w:rsidRPr="00810E73">
        <w:t xml:space="preserve">Cases have been brought by fossil fuel corporations </w:t>
      </w:r>
      <w:proofErr w:type="gramStart"/>
      <w:r w:rsidRPr="00810E73">
        <w:t>against:</w:t>
      </w:r>
      <w:proofErr w:type="gramEnd"/>
      <w:r w:rsidRPr="00810E73">
        <w:t xml:space="preserve"> governments in Germany, the Netherlands and Canada over the phaseout of coal power; in France over the attempted phase out of fossil fuel extraction; in Canada over bans on new shale exploration; in Italy over cancellation of a new crude oil extraction site; and in the US over cancellation of the extension of the Keystone Pipeline.</w:t>
      </w:r>
    </w:p>
    <w:p w14:paraId="002E6030" w14:textId="77777777" w:rsidR="00557BE4" w:rsidRPr="00810E73" w:rsidRDefault="00557BE4" w:rsidP="00046D77"/>
    <w:p w14:paraId="0723B29E" w14:textId="7B896D29" w:rsidR="00F50707" w:rsidRPr="00810E73" w:rsidRDefault="00835F13" w:rsidP="00BA2B9D">
      <w:pPr>
        <w:pStyle w:val="ListParagraph"/>
        <w:numPr>
          <w:ilvl w:val="0"/>
          <w:numId w:val="2"/>
        </w:numPr>
      </w:pPr>
      <w:r w:rsidRPr="00810E73">
        <w:t>However</w:t>
      </w:r>
      <w:r w:rsidR="00A068AF" w:rsidRPr="00810E73">
        <w:t>,</w:t>
      </w:r>
      <w:r w:rsidRPr="00810E73">
        <w:t xml:space="preserve"> without a firm statement to the contrary, </w:t>
      </w:r>
      <w:r w:rsidR="00076608" w:rsidRPr="00810E73">
        <w:t xml:space="preserve">it remains unclear whether the Government will allow itself to be bound by ISDS </w:t>
      </w:r>
      <w:r w:rsidR="00CD10EE" w:rsidRPr="00810E73">
        <w:t>provisions upon entry to the Comprehensive and Progressive Trans-Pacific Partnership (CPTPP), for which negotiations will likely progress this year</w:t>
      </w:r>
      <w:r w:rsidR="00557BE4" w:rsidRPr="00810E73">
        <w:t>, and in other future FTAs.</w:t>
      </w:r>
    </w:p>
    <w:p w14:paraId="622DC271" w14:textId="05C10FBE" w:rsidR="00AE7638" w:rsidRPr="00810E73" w:rsidRDefault="00AE7638" w:rsidP="00046D77"/>
    <w:p w14:paraId="2EB914F1" w14:textId="071F87FC" w:rsidR="009C4FC8" w:rsidRDefault="00AE7638" w:rsidP="009C4FC8">
      <w:pPr>
        <w:pStyle w:val="ListParagraph"/>
        <w:numPr>
          <w:ilvl w:val="0"/>
          <w:numId w:val="2"/>
        </w:numPr>
        <w:rPr>
          <w:lang w:val="en-US"/>
        </w:rPr>
      </w:pPr>
      <w:r w:rsidRPr="00810E73">
        <w:rPr>
          <w:lang w:val="en-US"/>
        </w:rPr>
        <w:t xml:space="preserve">The </w:t>
      </w:r>
      <w:r w:rsidR="00F06305">
        <w:rPr>
          <w:lang w:val="en-US"/>
        </w:rPr>
        <w:t>FTA with Australia</w:t>
      </w:r>
      <w:r w:rsidRPr="00810E73">
        <w:rPr>
          <w:lang w:val="en-US"/>
        </w:rPr>
        <w:t xml:space="preserve"> also includes concerning provisions </w:t>
      </w:r>
      <w:proofErr w:type="spellStart"/>
      <w:r w:rsidRPr="00810E73">
        <w:rPr>
          <w:lang w:val="en-US"/>
        </w:rPr>
        <w:t>liberalising</w:t>
      </w:r>
      <w:proofErr w:type="spellEnd"/>
      <w:r w:rsidRPr="00810E73">
        <w:rPr>
          <w:lang w:val="en-US"/>
        </w:rPr>
        <w:t xml:space="preserve"> public procurement and </w:t>
      </w:r>
      <w:r w:rsidR="00F06305">
        <w:rPr>
          <w:lang w:val="en-US"/>
        </w:rPr>
        <w:t>restricting</w:t>
      </w:r>
      <w:r w:rsidRPr="00810E73">
        <w:rPr>
          <w:lang w:val="en-US"/>
        </w:rPr>
        <w:t xml:space="preserve"> ‘local content requirements</w:t>
      </w:r>
      <w:r w:rsidR="00603A8B" w:rsidRPr="00810E73">
        <w:rPr>
          <w:lang w:val="en-US"/>
        </w:rPr>
        <w:t>.</w:t>
      </w:r>
      <w:r w:rsidRPr="00810E73">
        <w:rPr>
          <w:lang w:val="en-US"/>
        </w:rPr>
        <w:t xml:space="preserve">’ These could impact the Government’s ability to support green suppliers, and domestic green industries and transitioning workers, respectively. </w:t>
      </w:r>
      <w:r w:rsidR="00E24C3A">
        <w:rPr>
          <w:lang w:val="en-US"/>
        </w:rPr>
        <w:t xml:space="preserve">In contrast, the FTA </w:t>
      </w:r>
      <w:r w:rsidRPr="00810E73">
        <w:rPr>
          <w:lang w:val="en-US"/>
        </w:rPr>
        <w:t>does not include patent waivers and flexibility for green technology.</w:t>
      </w:r>
      <w:r w:rsidR="00E24C3A">
        <w:rPr>
          <w:lang w:val="en-US"/>
        </w:rPr>
        <w:t xml:space="preserve"> T</w:t>
      </w:r>
      <w:r w:rsidRPr="00810E73">
        <w:rPr>
          <w:lang w:val="en-US"/>
        </w:rPr>
        <w:t>hese provisions (or their lack) show</w:t>
      </w:r>
      <w:r w:rsidR="00E24C3A">
        <w:rPr>
          <w:lang w:val="en-US"/>
        </w:rPr>
        <w:t xml:space="preserve"> </w:t>
      </w:r>
      <w:r w:rsidRPr="00810E73">
        <w:rPr>
          <w:lang w:val="en-US"/>
        </w:rPr>
        <w:t>a</w:t>
      </w:r>
      <w:r w:rsidR="00931AAB">
        <w:rPr>
          <w:lang w:val="en-US"/>
        </w:rPr>
        <w:t xml:space="preserve">n </w:t>
      </w:r>
      <w:r w:rsidRPr="00810E73">
        <w:rPr>
          <w:lang w:val="en-US"/>
        </w:rPr>
        <w:t>incoherence between the Government’s approach to trade and the climate</w:t>
      </w:r>
      <w:r w:rsidR="00931AAB">
        <w:rPr>
          <w:lang w:val="en-US"/>
        </w:rPr>
        <w:t xml:space="preserve">, with worrying </w:t>
      </w:r>
      <w:r w:rsidR="00050138">
        <w:rPr>
          <w:lang w:val="en-US"/>
        </w:rPr>
        <w:t xml:space="preserve">implications for </w:t>
      </w:r>
      <w:r w:rsidR="00795896">
        <w:rPr>
          <w:lang w:val="en-US"/>
        </w:rPr>
        <w:t xml:space="preserve">the CPTPP </w:t>
      </w:r>
      <w:r w:rsidR="00252707">
        <w:rPr>
          <w:lang w:val="en-US"/>
        </w:rPr>
        <w:t>negotiations</w:t>
      </w:r>
      <w:r w:rsidR="00795896">
        <w:rPr>
          <w:lang w:val="en-US"/>
        </w:rPr>
        <w:t xml:space="preserve"> and for </w:t>
      </w:r>
      <w:r w:rsidR="00050138">
        <w:rPr>
          <w:lang w:val="en-US"/>
        </w:rPr>
        <w:t>future FTAs.</w:t>
      </w:r>
    </w:p>
    <w:p w14:paraId="3FF20E7F" w14:textId="77777777" w:rsidR="009C4FC8" w:rsidRDefault="009C4FC8" w:rsidP="009C4FC8">
      <w:pPr>
        <w:rPr>
          <w:lang w:val="en-US"/>
        </w:rPr>
      </w:pPr>
    </w:p>
    <w:p w14:paraId="0A14C326" w14:textId="72F92996" w:rsidR="009C4FC8" w:rsidRPr="007E688C" w:rsidRDefault="009C4FC8" w:rsidP="009C4FC8">
      <w:pPr>
        <w:rPr>
          <w:lang w:val="en-US"/>
        </w:rPr>
      </w:pPr>
      <w:r w:rsidRPr="007E688C">
        <w:rPr>
          <w:lang w:val="en-US"/>
        </w:rPr>
        <w:t>Development</w:t>
      </w:r>
      <w:r w:rsidR="0048644A">
        <w:rPr>
          <w:lang w:val="en-US"/>
        </w:rPr>
        <w:t xml:space="preserve"> content of FTAs</w:t>
      </w:r>
    </w:p>
    <w:p w14:paraId="669745A4" w14:textId="77777777" w:rsidR="009C4FC8" w:rsidRPr="007E688C" w:rsidRDefault="009C4FC8" w:rsidP="009C4FC8">
      <w:pPr>
        <w:rPr>
          <w:lang w:val="en-US"/>
        </w:rPr>
      </w:pPr>
    </w:p>
    <w:p w14:paraId="592A65CD" w14:textId="063F9B0F" w:rsidR="003A0005" w:rsidRDefault="009C4FC8" w:rsidP="00BF43EC">
      <w:pPr>
        <w:pStyle w:val="ListParagraph"/>
        <w:numPr>
          <w:ilvl w:val="0"/>
          <w:numId w:val="2"/>
        </w:numPr>
        <w:rPr>
          <w:lang w:val="en-US"/>
        </w:rPr>
      </w:pPr>
      <w:r w:rsidRPr="003A0005">
        <w:rPr>
          <w:lang w:val="en-US"/>
        </w:rPr>
        <w:t xml:space="preserve">The Government is </w:t>
      </w:r>
      <w:r w:rsidR="007E688C" w:rsidRPr="003A0005">
        <w:rPr>
          <w:lang w:val="en-US"/>
        </w:rPr>
        <w:t xml:space="preserve">celebrating, with the UK-Australia FTA, </w:t>
      </w:r>
      <w:r w:rsidRPr="003A0005">
        <w:rPr>
          <w:lang w:val="en-US"/>
        </w:rPr>
        <w:t>the inclusion of the first chapter on development in a</w:t>
      </w:r>
      <w:r w:rsidR="007E688C" w:rsidRPr="003A0005">
        <w:rPr>
          <w:lang w:val="en-US"/>
        </w:rPr>
        <w:t xml:space="preserve">n FTA </w:t>
      </w:r>
      <w:r w:rsidRPr="003A0005">
        <w:rPr>
          <w:lang w:val="en-US"/>
        </w:rPr>
        <w:t xml:space="preserve">between two developed nations. </w:t>
      </w:r>
      <w:r w:rsidR="007E688C" w:rsidRPr="003A0005">
        <w:rPr>
          <w:lang w:val="en-US"/>
        </w:rPr>
        <w:t>However,</w:t>
      </w:r>
      <w:r w:rsidRPr="003A0005">
        <w:rPr>
          <w:lang w:val="en-US"/>
        </w:rPr>
        <w:t xml:space="preserve"> the short page-and-a-half long chapter is </w:t>
      </w:r>
      <w:r w:rsidR="000C01A5" w:rsidRPr="003A0005">
        <w:rPr>
          <w:lang w:val="en-US"/>
        </w:rPr>
        <w:t xml:space="preserve">lacking in substance and </w:t>
      </w:r>
      <w:r w:rsidR="00EF6178">
        <w:rPr>
          <w:lang w:val="en-US"/>
        </w:rPr>
        <w:t>is non-binding</w:t>
      </w:r>
      <w:r w:rsidR="000C01A5" w:rsidRPr="003A0005">
        <w:rPr>
          <w:lang w:val="en-US"/>
        </w:rPr>
        <w:t>, si</w:t>
      </w:r>
      <w:r w:rsidRPr="003A0005">
        <w:rPr>
          <w:lang w:val="en-US"/>
        </w:rPr>
        <w:t>mply ‘</w:t>
      </w:r>
      <w:proofErr w:type="spellStart"/>
      <w:r w:rsidRPr="003A0005">
        <w:rPr>
          <w:lang w:val="en-US"/>
        </w:rPr>
        <w:t>recognising</w:t>
      </w:r>
      <w:proofErr w:type="spellEnd"/>
      <w:r w:rsidRPr="003A0005">
        <w:rPr>
          <w:lang w:val="en-US"/>
        </w:rPr>
        <w:t>’ the importance of trade for development</w:t>
      </w:r>
      <w:r w:rsidR="003A0005" w:rsidRPr="003A0005">
        <w:rPr>
          <w:lang w:val="en-US"/>
        </w:rPr>
        <w:t xml:space="preserve">, </w:t>
      </w:r>
      <w:r w:rsidR="008F0DE8" w:rsidRPr="003A0005">
        <w:rPr>
          <w:lang w:val="en-US"/>
        </w:rPr>
        <w:t>‘acknowledging’ the benefits of ‘effective coordination of trade and development policies</w:t>
      </w:r>
      <w:r w:rsidR="003A0005" w:rsidRPr="003A0005">
        <w:rPr>
          <w:lang w:val="en-US"/>
        </w:rPr>
        <w:t xml:space="preserve">,’ and allowing for </w:t>
      </w:r>
      <w:r w:rsidRPr="003A0005">
        <w:rPr>
          <w:lang w:val="en-US"/>
        </w:rPr>
        <w:t>the possibility of future cooperation</w:t>
      </w:r>
      <w:r w:rsidR="000C01A5" w:rsidRPr="003A0005">
        <w:rPr>
          <w:lang w:val="en-US"/>
        </w:rPr>
        <w:t xml:space="preserve"> on development issues</w:t>
      </w:r>
      <w:r w:rsidRPr="003A0005">
        <w:rPr>
          <w:lang w:val="en-US"/>
        </w:rPr>
        <w:t>.</w:t>
      </w:r>
    </w:p>
    <w:p w14:paraId="1E198737" w14:textId="77777777" w:rsidR="003A0005" w:rsidRDefault="003A0005" w:rsidP="003A0005">
      <w:pPr>
        <w:pStyle w:val="ListParagraph"/>
        <w:rPr>
          <w:lang w:val="en-US"/>
        </w:rPr>
      </w:pPr>
    </w:p>
    <w:p w14:paraId="389E33E4" w14:textId="77777777" w:rsidR="000B35D7" w:rsidRDefault="008346A8" w:rsidP="00BF43EC">
      <w:pPr>
        <w:pStyle w:val="ListParagraph"/>
        <w:numPr>
          <w:ilvl w:val="0"/>
          <w:numId w:val="2"/>
        </w:numPr>
        <w:rPr>
          <w:lang w:val="en-US"/>
        </w:rPr>
      </w:pPr>
      <w:r w:rsidRPr="003A0005">
        <w:rPr>
          <w:lang w:val="en-US"/>
        </w:rPr>
        <w:t xml:space="preserve">A more </w:t>
      </w:r>
      <w:r w:rsidR="00CE299D" w:rsidRPr="003A0005">
        <w:rPr>
          <w:lang w:val="en-US"/>
        </w:rPr>
        <w:t xml:space="preserve">comprehensive Development Chapter </w:t>
      </w:r>
      <w:r w:rsidR="00332A91" w:rsidRPr="003A0005">
        <w:rPr>
          <w:lang w:val="en-US"/>
        </w:rPr>
        <w:t>c</w:t>
      </w:r>
      <w:r w:rsidR="00CE299D" w:rsidRPr="003A0005">
        <w:rPr>
          <w:lang w:val="en-US"/>
        </w:rPr>
        <w:t>ould reference</w:t>
      </w:r>
      <w:r w:rsidR="009979E4" w:rsidRPr="003A0005">
        <w:rPr>
          <w:lang w:val="en-US"/>
        </w:rPr>
        <w:t>:</w:t>
      </w:r>
    </w:p>
    <w:p w14:paraId="2839769E" w14:textId="77777777" w:rsidR="000B35D7" w:rsidRPr="000B35D7" w:rsidRDefault="000B35D7" w:rsidP="000B35D7">
      <w:pPr>
        <w:pStyle w:val="ListParagraph"/>
        <w:rPr>
          <w:lang w:val="en-US"/>
        </w:rPr>
      </w:pPr>
    </w:p>
    <w:p w14:paraId="3CAEB754" w14:textId="61A7747C" w:rsidR="000B35D7" w:rsidRDefault="007624FE" w:rsidP="000B35D7">
      <w:pPr>
        <w:pStyle w:val="ListParagraph"/>
        <w:numPr>
          <w:ilvl w:val="1"/>
          <w:numId w:val="2"/>
        </w:numPr>
        <w:rPr>
          <w:lang w:val="en-US"/>
        </w:rPr>
      </w:pPr>
      <w:r>
        <w:rPr>
          <w:lang w:val="en-US"/>
        </w:rPr>
        <w:t xml:space="preserve">supporting efforts to promote </w:t>
      </w:r>
      <w:r w:rsidR="00CE299D" w:rsidRPr="003A0005">
        <w:rPr>
          <w:lang w:val="en-US"/>
        </w:rPr>
        <w:t>regional trade for developing countries</w:t>
      </w:r>
      <w:r>
        <w:rPr>
          <w:lang w:val="en-US"/>
        </w:rPr>
        <w:t xml:space="preserve">, as the strongest driver of supply </w:t>
      </w:r>
      <w:r w:rsidR="00CE299D" w:rsidRPr="003A0005">
        <w:rPr>
          <w:lang w:val="en-US"/>
        </w:rPr>
        <w:t>chain</w:t>
      </w:r>
      <w:r w:rsidR="00BF2C93">
        <w:rPr>
          <w:lang w:val="en-US"/>
        </w:rPr>
        <w:t xml:space="preserve">s </w:t>
      </w:r>
      <w:r w:rsidR="00CE299D" w:rsidRPr="003A0005">
        <w:rPr>
          <w:lang w:val="en-US"/>
        </w:rPr>
        <w:t>and value addition activities</w:t>
      </w:r>
    </w:p>
    <w:p w14:paraId="556504AC" w14:textId="6725E271" w:rsidR="000B35D7" w:rsidRDefault="000A7FE7" w:rsidP="000B35D7">
      <w:pPr>
        <w:pStyle w:val="ListParagraph"/>
        <w:numPr>
          <w:ilvl w:val="1"/>
          <w:numId w:val="2"/>
        </w:numPr>
        <w:rPr>
          <w:lang w:val="en-US"/>
        </w:rPr>
      </w:pPr>
      <w:r>
        <w:rPr>
          <w:lang w:val="en-US"/>
        </w:rPr>
        <w:t xml:space="preserve">the importance of </w:t>
      </w:r>
      <w:r w:rsidR="00E02AE5">
        <w:rPr>
          <w:lang w:val="en-US"/>
        </w:rPr>
        <w:t>WTO flexibilities and</w:t>
      </w:r>
      <w:r w:rsidR="006B0567">
        <w:rPr>
          <w:lang w:val="en-US"/>
        </w:rPr>
        <w:t xml:space="preserve"> waivers for developing countries</w:t>
      </w:r>
      <w:r w:rsidR="006751AF">
        <w:rPr>
          <w:lang w:val="en-US"/>
        </w:rPr>
        <w:t xml:space="preserve">, including for pharmaceutical and environmental </w:t>
      </w:r>
      <w:r>
        <w:rPr>
          <w:lang w:val="en-US"/>
        </w:rPr>
        <w:t>technology</w:t>
      </w:r>
      <w:r w:rsidR="00DF01A4">
        <w:rPr>
          <w:lang w:val="en-US"/>
        </w:rPr>
        <w:t xml:space="preserve">, and </w:t>
      </w:r>
      <w:r>
        <w:rPr>
          <w:lang w:val="en-US"/>
        </w:rPr>
        <w:t xml:space="preserve">the role of </w:t>
      </w:r>
      <w:r w:rsidR="00DF01A4">
        <w:rPr>
          <w:lang w:val="en-US"/>
        </w:rPr>
        <w:t>non-reciprocal preference schemes</w:t>
      </w:r>
    </w:p>
    <w:p w14:paraId="37AB9EE6" w14:textId="06B86107" w:rsidR="00785F34" w:rsidRDefault="00785F34" w:rsidP="000B35D7">
      <w:pPr>
        <w:pStyle w:val="ListParagraph"/>
        <w:numPr>
          <w:ilvl w:val="1"/>
          <w:numId w:val="2"/>
        </w:numPr>
        <w:rPr>
          <w:lang w:val="en-US"/>
        </w:rPr>
      </w:pPr>
      <w:r>
        <w:rPr>
          <w:lang w:val="en-US"/>
        </w:rPr>
        <w:t>ensuring developing countries have the policy space needed in trade negotiations to protect sensitive industries</w:t>
      </w:r>
    </w:p>
    <w:p w14:paraId="6A6EFDEA" w14:textId="46CE2A7F" w:rsidR="000F4AFD" w:rsidRDefault="00483494" w:rsidP="000B35D7">
      <w:pPr>
        <w:pStyle w:val="ListParagraph"/>
        <w:numPr>
          <w:ilvl w:val="1"/>
          <w:numId w:val="2"/>
        </w:numPr>
        <w:rPr>
          <w:lang w:val="en-US"/>
        </w:rPr>
      </w:pPr>
      <w:r>
        <w:rPr>
          <w:lang w:val="en-US"/>
        </w:rPr>
        <w:t xml:space="preserve">a </w:t>
      </w:r>
      <w:r w:rsidR="008905E3">
        <w:rPr>
          <w:lang w:val="en-US"/>
        </w:rPr>
        <w:t>commitment to monitoring the imp</w:t>
      </w:r>
      <w:r w:rsidR="000F4AFD">
        <w:rPr>
          <w:lang w:val="en-US"/>
        </w:rPr>
        <w:t xml:space="preserve">act of </w:t>
      </w:r>
      <w:r w:rsidR="008905E3">
        <w:rPr>
          <w:lang w:val="en-US"/>
        </w:rPr>
        <w:t xml:space="preserve">the FTA on </w:t>
      </w:r>
      <w:r w:rsidR="000F4AFD">
        <w:rPr>
          <w:lang w:val="en-US"/>
        </w:rPr>
        <w:t>developing countr</w:t>
      </w:r>
      <w:r w:rsidR="008905E3">
        <w:rPr>
          <w:lang w:val="en-US"/>
        </w:rPr>
        <w:t xml:space="preserve">ies, including their preferential access to parties’ markets, and </w:t>
      </w:r>
      <w:r>
        <w:rPr>
          <w:lang w:val="en-US"/>
        </w:rPr>
        <w:t>thresholds and steps for action if impacts are observed</w:t>
      </w:r>
    </w:p>
    <w:p w14:paraId="3A21EAD0" w14:textId="3667FE8E" w:rsidR="00483494" w:rsidRDefault="008F0DE8" w:rsidP="00483494">
      <w:pPr>
        <w:pStyle w:val="ListParagraph"/>
        <w:numPr>
          <w:ilvl w:val="1"/>
          <w:numId w:val="2"/>
        </w:numPr>
        <w:rPr>
          <w:lang w:val="en-US"/>
        </w:rPr>
      </w:pPr>
      <w:r w:rsidRPr="003A0005">
        <w:rPr>
          <w:lang w:val="en-US"/>
        </w:rPr>
        <w:t xml:space="preserve">a </w:t>
      </w:r>
      <w:r w:rsidR="00456138" w:rsidRPr="003A0005">
        <w:rPr>
          <w:lang w:val="en-US"/>
        </w:rPr>
        <w:t>commitment to increase the voice of developing countries in all trade negotiations, including at the WTO</w:t>
      </w:r>
    </w:p>
    <w:p w14:paraId="4E9D58E3" w14:textId="77777777" w:rsidR="00483494" w:rsidRPr="00483494" w:rsidRDefault="00483494" w:rsidP="00483494">
      <w:pPr>
        <w:rPr>
          <w:lang w:val="en-US"/>
        </w:rPr>
      </w:pPr>
    </w:p>
    <w:p w14:paraId="778D9FA4" w14:textId="106FB965" w:rsidR="007E760E" w:rsidRDefault="00483494" w:rsidP="007E760E">
      <w:pPr>
        <w:pStyle w:val="ListParagraph"/>
        <w:numPr>
          <w:ilvl w:val="0"/>
          <w:numId w:val="2"/>
        </w:numPr>
        <w:rPr>
          <w:lang w:val="en-US"/>
        </w:rPr>
      </w:pPr>
      <w:r>
        <w:rPr>
          <w:lang w:val="en-US"/>
        </w:rPr>
        <w:t>In the impact assessment published alongside the FTA with Australia</w:t>
      </w:r>
      <w:r w:rsidRPr="007E688C">
        <w:rPr>
          <w:lang w:val="en-US"/>
        </w:rPr>
        <w:t>, the Government state</w:t>
      </w:r>
      <w:r>
        <w:rPr>
          <w:lang w:val="en-US"/>
        </w:rPr>
        <w:t>s</w:t>
      </w:r>
      <w:r w:rsidRPr="007E688C">
        <w:rPr>
          <w:lang w:val="en-US"/>
        </w:rPr>
        <w:t xml:space="preserve"> it will monitor the impact on exporters in developing countries who rely on UK markets, and who could be undercut now Australia has the same tariff-free access. </w:t>
      </w:r>
      <w:r w:rsidR="00AB5774">
        <w:rPr>
          <w:lang w:val="en-US"/>
        </w:rPr>
        <w:t>This could affect</w:t>
      </w:r>
      <w:r w:rsidRPr="007E688C">
        <w:rPr>
          <w:lang w:val="en-US"/>
        </w:rPr>
        <w:t xml:space="preserve"> exporters of sugar in Jamaica, Belize and Guyana, or exporters of beef and fruit in Namibia and Botswana</w:t>
      </w:r>
      <w:r w:rsidR="009131AB">
        <w:rPr>
          <w:lang w:val="en-US"/>
        </w:rPr>
        <w:t xml:space="preserve">. </w:t>
      </w:r>
      <w:r w:rsidR="002A5998">
        <w:rPr>
          <w:lang w:val="en-US"/>
        </w:rPr>
        <w:t xml:space="preserve">This </w:t>
      </w:r>
      <w:r w:rsidR="009131AB">
        <w:rPr>
          <w:lang w:val="en-US"/>
        </w:rPr>
        <w:t xml:space="preserve">is not sufficient without </w:t>
      </w:r>
      <w:r w:rsidR="00AB5774">
        <w:rPr>
          <w:lang w:val="en-US"/>
        </w:rPr>
        <w:t>explicit thresholds and steps for action.</w:t>
      </w:r>
    </w:p>
    <w:p w14:paraId="1A06FF18" w14:textId="155CCDFB" w:rsidR="007E760E" w:rsidRDefault="007E760E" w:rsidP="00E00E04">
      <w:pPr>
        <w:ind w:left="360"/>
        <w:rPr>
          <w:lang w:val="en-US"/>
        </w:rPr>
      </w:pPr>
    </w:p>
    <w:p w14:paraId="2456CE9B" w14:textId="3A89CF93" w:rsidR="00E00E04" w:rsidRDefault="00E00E04" w:rsidP="00E00E04">
      <w:pPr>
        <w:ind w:left="360"/>
        <w:rPr>
          <w:lang w:val="en-US"/>
        </w:rPr>
      </w:pPr>
      <w:r>
        <w:rPr>
          <w:lang w:val="en-US"/>
        </w:rPr>
        <w:t>Development-related FTAs</w:t>
      </w:r>
    </w:p>
    <w:p w14:paraId="6C2ADA6B" w14:textId="77777777" w:rsidR="00E00E04" w:rsidRPr="00E00E04" w:rsidRDefault="00E00E04" w:rsidP="00E00E04">
      <w:pPr>
        <w:ind w:left="360"/>
        <w:rPr>
          <w:lang w:val="en-US"/>
        </w:rPr>
      </w:pPr>
    </w:p>
    <w:p w14:paraId="50AAA3B4" w14:textId="3D570CC7" w:rsidR="003F10E5" w:rsidRDefault="003F10E5" w:rsidP="003F10E5">
      <w:pPr>
        <w:pStyle w:val="ListParagraph"/>
        <w:numPr>
          <w:ilvl w:val="0"/>
          <w:numId w:val="2"/>
        </w:numPr>
        <w:rPr>
          <w:lang w:val="en-US"/>
        </w:rPr>
      </w:pPr>
      <w:r w:rsidRPr="00815344">
        <w:rPr>
          <w:lang w:val="en-US"/>
        </w:rPr>
        <w:t>We consider the Government’s last signed trade agreements with developing countries - the ‘rollover’ of the EU’s ‘Economic Partnership Agreements’ (EPAs) with countries including Cote d’Ivoire, Ghana, Cameroon and Kenya</w:t>
      </w:r>
      <w:r>
        <w:rPr>
          <w:lang w:val="en-US"/>
        </w:rPr>
        <w:t xml:space="preserve"> – a failure from a development perspective</w:t>
      </w:r>
      <w:r w:rsidRPr="00815344">
        <w:rPr>
          <w:lang w:val="en-US"/>
        </w:rPr>
        <w:t xml:space="preserve">. These require developing countries to remove around 80% of tariffs on imports from the UK, </w:t>
      </w:r>
      <w:proofErr w:type="gramStart"/>
      <w:r w:rsidRPr="00815344">
        <w:rPr>
          <w:lang w:val="en-US"/>
        </w:rPr>
        <w:t>opening up</w:t>
      </w:r>
      <w:proofErr w:type="gramEnd"/>
      <w:r w:rsidRPr="00815344">
        <w:rPr>
          <w:lang w:val="en-US"/>
        </w:rPr>
        <w:t xml:space="preserve"> these countries’ markets to foreign competition before they are ready. And they </w:t>
      </w:r>
      <w:r w:rsidRPr="00815344">
        <w:rPr>
          <w:lang w:val="en-US"/>
        </w:rPr>
        <w:lastRenderedPageBreak/>
        <w:t>undermine regional trade, in requiring increased border checks between countries such as those within the East African Community customs union, to ensure the common external tariff is paid on UK goods crossing into the other countries via Kenya.</w:t>
      </w:r>
    </w:p>
    <w:p w14:paraId="4F9206B5" w14:textId="77777777" w:rsidR="003F10E5" w:rsidRDefault="003F10E5" w:rsidP="003F10E5">
      <w:pPr>
        <w:pStyle w:val="ListParagraph"/>
        <w:rPr>
          <w:lang w:val="en-US"/>
        </w:rPr>
      </w:pPr>
    </w:p>
    <w:p w14:paraId="0D2B1FBA" w14:textId="3F036BA2" w:rsidR="00507B9B" w:rsidRDefault="009131AB" w:rsidP="00E00E04">
      <w:pPr>
        <w:pStyle w:val="ListParagraph"/>
        <w:numPr>
          <w:ilvl w:val="0"/>
          <w:numId w:val="2"/>
        </w:numPr>
        <w:rPr>
          <w:lang w:val="en-US"/>
        </w:rPr>
      </w:pPr>
      <w:r w:rsidRPr="007E760E">
        <w:rPr>
          <w:lang w:val="en-US"/>
        </w:rPr>
        <w:t xml:space="preserve">A </w:t>
      </w:r>
      <w:r w:rsidR="00DB61B2">
        <w:rPr>
          <w:lang w:val="en-US"/>
        </w:rPr>
        <w:t xml:space="preserve">more </w:t>
      </w:r>
      <w:r w:rsidRPr="007E760E">
        <w:rPr>
          <w:lang w:val="en-US"/>
        </w:rPr>
        <w:t xml:space="preserve">coherent approach to trade and development </w:t>
      </w:r>
      <w:r w:rsidR="00DB61B2">
        <w:rPr>
          <w:lang w:val="en-US"/>
        </w:rPr>
        <w:t xml:space="preserve">than </w:t>
      </w:r>
      <w:r w:rsidR="003231A9">
        <w:rPr>
          <w:lang w:val="en-US"/>
        </w:rPr>
        <w:t xml:space="preserve">that </w:t>
      </w:r>
      <w:r w:rsidR="00DB61B2">
        <w:rPr>
          <w:lang w:val="en-US"/>
        </w:rPr>
        <w:t xml:space="preserve">displayed </w:t>
      </w:r>
      <w:r w:rsidR="003231A9">
        <w:rPr>
          <w:lang w:val="en-US"/>
        </w:rPr>
        <w:t>by</w:t>
      </w:r>
      <w:r w:rsidR="003F10E5">
        <w:rPr>
          <w:lang w:val="en-US"/>
        </w:rPr>
        <w:t xml:space="preserve"> the EPA rollovers and</w:t>
      </w:r>
      <w:r w:rsidR="003231A9">
        <w:rPr>
          <w:lang w:val="en-US"/>
        </w:rPr>
        <w:t xml:space="preserve"> in</w:t>
      </w:r>
      <w:r w:rsidR="003F10E5">
        <w:rPr>
          <w:lang w:val="en-US"/>
        </w:rPr>
        <w:t xml:space="preserve"> the FTA </w:t>
      </w:r>
      <w:r w:rsidR="00FE1B07">
        <w:rPr>
          <w:lang w:val="en-US"/>
        </w:rPr>
        <w:t>with</w:t>
      </w:r>
      <w:r w:rsidR="003F10E5">
        <w:rPr>
          <w:lang w:val="en-US"/>
        </w:rPr>
        <w:t xml:space="preserve"> Australia</w:t>
      </w:r>
      <w:r w:rsidR="00FE1B07">
        <w:rPr>
          <w:lang w:val="en-US"/>
        </w:rPr>
        <w:t xml:space="preserve"> </w:t>
      </w:r>
      <w:r w:rsidRPr="007E760E">
        <w:rPr>
          <w:lang w:val="en-US"/>
        </w:rPr>
        <w:t xml:space="preserve">will be doubly important </w:t>
      </w:r>
      <w:r w:rsidR="009A491F" w:rsidRPr="007E760E">
        <w:rPr>
          <w:lang w:val="en-US"/>
        </w:rPr>
        <w:t xml:space="preserve">in </w:t>
      </w:r>
      <w:r w:rsidR="005E495E">
        <w:rPr>
          <w:lang w:val="en-US"/>
        </w:rPr>
        <w:t xml:space="preserve">future </w:t>
      </w:r>
      <w:r w:rsidR="003231A9">
        <w:rPr>
          <w:lang w:val="en-US"/>
        </w:rPr>
        <w:t xml:space="preserve">FTA </w:t>
      </w:r>
      <w:r w:rsidR="009A491F" w:rsidRPr="007E760E">
        <w:rPr>
          <w:lang w:val="en-US"/>
        </w:rPr>
        <w:t>negotiations</w:t>
      </w:r>
      <w:r w:rsidR="00FC40D4">
        <w:rPr>
          <w:lang w:val="en-US"/>
        </w:rPr>
        <w:t xml:space="preserve"> - underlining</w:t>
      </w:r>
      <w:r w:rsidR="005E495E">
        <w:rPr>
          <w:lang w:val="en-US"/>
        </w:rPr>
        <w:t xml:space="preserve"> the need for a </w:t>
      </w:r>
      <w:r w:rsidR="00FC40D4">
        <w:rPr>
          <w:lang w:val="en-US"/>
        </w:rPr>
        <w:t>properly developed trade strategy that can steer the Government and to which it can be held accountable.</w:t>
      </w:r>
    </w:p>
    <w:p w14:paraId="4A6CDFB6" w14:textId="77777777" w:rsidR="00507B9B" w:rsidRPr="00507B9B" w:rsidRDefault="00507B9B" w:rsidP="00507B9B">
      <w:pPr>
        <w:pStyle w:val="ListParagraph"/>
        <w:rPr>
          <w:lang w:val="en-US"/>
        </w:rPr>
      </w:pPr>
    </w:p>
    <w:p w14:paraId="7D6C0510" w14:textId="0ECDE76A" w:rsidR="009131AB" w:rsidRDefault="00FC40D4" w:rsidP="00E00E04">
      <w:pPr>
        <w:pStyle w:val="ListParagraph"/>
        <w:numPr>
          <w:ilvl w:val="0"/>
          <w:numId w:val="2"/>
        </w:numPr>
        <w:rPr>
          <w:lang w:val="en-US"/>
        </w:rPr>
      </w:pPr>
      <w:r>
        <w:rPr>
          <w:lang w:val="en-US"/>
        </w:rPr>
        <w:t>For example, t</w:t>
      </w:r>
      <w:r w:rsidR="00507B9B">
        <w:rPr>
          <w:lang w:val="en-US"/>
        </w:rPr>
        <w:t xml:space="preserve">he </w:t>
      </w:r>
      <w:r>
        <w:rPr>
          <w:lang w:val="en-US"/>
        </w:rPr>
        <w:t>UK’s next FTA</w:t>
      </w:r>
      <w:r w:rsidR="00507B9B">
        <w:rPr>
          <w:lang w:val="en-US"/>
        </w:rPr>
        <w:t xml:space="preserve"> negotiations will </w:t>
      </w:r>
      <w:r>
        <w:rPr>
          <w:lang w:val="en-US"/>
        </w:rPr>
        <w:t xml:space="preserve">soon begin </w:t>
      </w:r>
      <w:r w:rsidR="009A491F" w:rsidRPr="007E760E">
        <w:rPr>
          <w:lang w:val="en-US"/>
        </w:rPr>
        <w:t>with India</w:t>
      </w:r>
      <w:r w:rsidR="003231A9">
        <w:rPr>
          <w:lang w:val="en-US"/>
        </w:rPr>
        <w:t xml:space="preserve"> -</w:t>
      </w:r>
      <w:r w:rsidR="009A491F" w:rsidRPr="007E760E">
        <w:rPr>
          <w:lang w:val="en-US"/>
        </w:rPr>
        <w:t xml:space="preserve"> the country with the world’s highest number of people living in extreme poverty. Sectors </w:t>
      </w:r>
      <w:r w:rsidR="007E760E" w:rsidRPr="007E760E">
        <w:rPr>
          <w:lang w:val="en-US"/>
        </w:rPr>
        <w:t>such as</w:t>
      </w:r>
      <w:r w:rsidR="009A491F" w:rsidRPr="007E760E">
        <w:rPr>
          <w:lang w:val="en-US"/>
        </w:rPr>
        <w:t xml:space="preserve"> agriculture</w:t>
      </w:r>
      <w:r w:rsidR="007E760E" w:rsidRPr="007E760E">
        <w:rPr>
          <w:lang w:val="en-US"/>
        </w:rPr>
        <w:t xml:space="preserve"> </w:t>
      </w:r>
      <w:r w:rsidR="009A491F" w:rsidRPr="007E760E">
        <w:rPr>
          <w:lang w:val="en-US"/>
        </w:rPr>
        <w:t xml:space="preserve">employ huge numbers of poor people </w:t>
      </w:r>
      <w:r w:rsidR="002A5998">
        <w:rPr>
          <w:lang w:val="en-US"/>
        </w:rPr>
        <w:t xml:space="preserve">in India </w:t>
      </w:r>
      <w:r w:rsidR="009A491F" w:rsidRPr="007E760E">
        <w:rPr>
          <w:lang w:val="en-US"/>
        </w:rPr>
        <w:t>and must be treated sensitively</w:t>
      </w:r>
      <w:r w:rsidR="007E760E" w:rsidRPr="007E760E">
        <w:rPr>
          <w:lang w:val="en-US"/>
        </w:rPr>
        <w:t>, and India’s role as a producer of generic medicines for developing countries must not be threatened.</w:t>
      </w:r>
      <w:r w:rsidR="002A5998">
        <w:rPr>
          <w:lang w:val="en-US"/>
        </w:rPr>
        <w:t xml:space="preserve"> Similarly, consideration must be given to the other developing countries w</w:t>
      </w:r>
      <w:r w:rsidR="00EA0590">
        <w:rPr>
          <w:lang w:val="en-US"/>
        </w:rPr>
        <w:t>ith export sectors that</w:t>
      </w:r>
      <w:r w:rsidR="002A5998">
        <w:rPr>
          <w:lang w:val="en-US"/>
        </w:rPr>
        <w:t xml:space="preserve"> currently rely on </w:t>
      </w:r>
      <w:r w:rsidR="00EA0590">
        <w:rPr>
          <w:lang w:val="en-US"/>
        </w:rPr>
        <w:t>zero tariff access to UK markets, and which could be impacted by granting India the same access.</w:t>
      </w:r>
    </w:p>
    <w:p w14:paraId="5A85ABC9" w14:textId="77777777" w:rsidR="00AE7638" w:rsidRPr="00810E73" w:rsidRDefault="00AE7638" w:rsidP="00046D77"/>
    <w:p w14:paraId="43E60EA8" w14:textId="00B9CE93" w:rsidR="00AE7638" w:rsidRPr="00810E73" w:rsidRDefault="00AE7638" w:rsidP="00810E73">
      <w:r w:rsidRPr="00810E73">
        <w:t>Scrutiny of FTAs</w:t>
      </w:r>
    </w:p>
    <w:p w14:paraId="733699DE" w14:textId="77777777" w:rsidR="00AE7638" w:rsidRPr="00810E73" w:rsidRDefault="00AE7638" w:rsidP="00046D77"/>
    <w:p w14:paraId="00A48941" w14:textId="32519B18" w:rsidR="008B1497" w:rsidRPr="00810E73" w:rsidRDefault="00766C5B" w:rsidP="00BA2B9D">
      <w:pPr>
        <w:pStyle w:val="ListParagraph"/>
        <w:numPr>
          <w:ilvl w:val="0"/>
          <w:numId w:val="2"/>
        </w:numPr>
      </w:pPr>
      <w:r w:rsidRPr="00810E73">
        <w:t xml:space="preserve">We also believe that no UK FTA can represent the best outcome without full consultation and input from </w:t>
      </w:r>
      <w:r w:rsidR="00982E9C" w:rsidRPr="00810E73">
        <w:t>Parliament</w:t>
      </w:r>
      <w:r w:rsidR="007B19C1" w:rsidRPr="00810E73">
        <w:t>,</w:t>
      </w:r>
      <w:r w:rsidR="00982E9C" w:rsidRPr="00810E73">
        <w:t xml:space="preserve"> </w:t>
      </w:r>
      <w:r w:rsidR="009B2760" w:rsidRPr="00810E73">
        <w:t xml:space="preserve">after consultation </w:t>
      </w:r>
      <w:r w:rsidR="00CF1D35" w:rsidRPr="00810E73">
        <w:t xml:space="preserve">with experts </w:t>
      </w:r>
      <w:r w:rsidR="00982E9C" w:rsidRPr="00810E73">
        <w:t xml:space="preserve">across businesses, civil </w:t>
      </w:r>
      <w:proofErr w:type="gramStart"/>
      <w:r w:rsidR="00982E9C" w:rsidRPr="00810E73">
        <w:t>society</w:t>
      </w:r>
      <w:proofErr w:type="gramEnd"/>
      <w:r w:rsidR="00CF1D35" w:rsidRPr="00810E73">
        <w:t xml:space="preserve"> and</w:t>
      </w:r>
      <w:r w:rsidR="00CA049C" w:rsidRPr="00810E73">
        <w:t xml:space="preserve"> academia</w:t>
      </w:r>
      <w:r w:rsidR="00CF1D35" w:rsidRPr="00810E73">
        <w:t xml:space="preserve">, and with </w:t>
      </w:r>
      <w:r w:rsidR="00CA049C" w:rsidRPr="00810E73">
        <w:t xml:space="preserve">the public. Future FTA negotiations </w:t>
      </w:r>
      <w:r w:rsidR="000A71F5" w:rsidRPr="00810E73">
        <w:t xml:space="preserve">should be supported by a Parliamentary debate and meaningful </w:t>
      </w:r>
      <w:r w:rsidR="006569BD" w:rsidRPr="00810E73">
        <w:t xml:space="preserve">and guaranteed </w:t>
      </w:r>
      <w:r w:rsidR="000A71F5" w:rsidRPr="00810E73">
        <w:t>vote</w:t>
      </w:r>
      <w:r w:rsidR="00095D34" w:rsidRPr="00810E73">
        <w:t>, both</w:t>
      </w:r>
      <w:r w:rsidR="000A71F5" w:rsidRPr="00810E73">
        <w:t xml:space="preserve"> on the negotiating objectives and on the final deal</w:t>
      </w:r>
      <w:r w:rsidR="006E0227" w:rsidRPr="00810E73">
        <w:t>, as well as increased access to information during the negotiations</w:t>
      </w:r>
      <w:r w:rsidR="00CF1D35" w:rsidRPr="00810E73">
        <w:t xml:space="preserve"> and sufficient time for consultation</w:t>
      </w:r>
      <w:r w:rsidR="006E0227" w:rsidRPr="00810E73">
        <w:t xml:space="preserve">. This </w:t>
      </w:r>
      <w:r w:rsidR="006569BD" w:rsidRPr="00810E73">
        <w:t>would bring the UK</w:t>
      </w:r>
      <w:r w:rsidR="00B0600D" w:rsidRPr="00810E73">
        <w:t xml:space="preserve"> more</w:t>
      </w:r>
      <w:r w:rsidR="006569BD" w:rsidRPr="00810E73">
        <w:t xml:space="preserve"> into line with </w:t>
      </w:r>
      <w:r w:rsidR="00B0600D" w:rsidRPr="00810E73">
        <w:t>other jurisdictions</w:t>
      </w:r>
      <w:r w:rsidR="006569BD" w:rsidRPr="00810E73">
        <w:t xml:space="preserve"> such as the US</w:t>
      </w:r>
      <w:r w:rsidR="00B0600D" w:rsidRPr="00810E73">
        <w:t xml:space="preserve">, </w:t>
      </w:r>
      <w:proofErr w:type="gramStart"/>
      <w:r w:rsidR="006569BD" w:rsidRPr="00810E73">
        <w:t>EU</w:t>
      </w:r>
      <w:proofErr w:type="gramEnd"/>
      <w:r w:rsidR="00B0600D" w:rsidRPr="00810E73">
        <w:t xml:space="preserve"> and Japan</w:t>
      </w:r>
      <w:r w:rsidR="00CF1D35" w:rsidRPr="00810E73">
        <w:t xml:space="preserve">, and </w:t>
      </w:r>
      <w:r w:rsidR="0042321D" w:rsidRPr="00810E73">
        <w:t xml:space="preserve">allow the UK Government to pursue </w:t>
      </w:r>
      <w:r w:rsidR="00927F7C" w:rsidRPr="00810E73">
        <w:t>and achieve stronger outcomes on both climate change and a host of other issues in its future FTAs.</w:t>
      </w:r>
    </w:p>
    <w:p w14:paraId="7A8DE84A" w14:textId="5A7CCD3A" w:rsidR="008B1497" w:rsidRPr="00810E73" w:rsidRDefault="008B1497" w:rsidP="00046D77"/>
    <w:p w14:paraId="00DA0976" w14:textId="47A99536" w:rsidR="00603A8B" w:rsidRPr="00810E73" w:rsidRDefault="00603A8B" w:rsidP="00046D77"/>
    <w:p w14:paraId="77633D9E" w14:textId="77777777" w:rsidR="00603A8B" w:rsidRPr="00810E73" w:rsidRDefault="00603A8B" w:rsidP="00046D77"/>
    <w:p w14:paraId="746066DF" w14:textId="47AB24E5" w:rsidR="008B1497" w:rsidRPr="00810E73" w:rsidRDefault="008B1497" w:rsidP="00046D77">
      <w:r w:rsidRPr="00810E73">
        <w:t xml:space="preserve">For more information, please contact Laurey Boughey, Senior Policy Advisor at </w:t>
      </w:r>
      <w:proofErr w:type="spellStart"/>
      <w:r w:rsidRPr="00810E73">
        <w:t>Traidcraft</w:t>
      </w:r>
      <w:proofErr w:type="spellEnd"/>
      <w:r w:rsidRPr="00810E73">
        <w:t xml:space="preserve"> Exchange, at </w:t>
      </w:r>
      <w:hyperlink r:id="rId11" w:history="1">
        <w:r w:rsidRPr="00810E73">
          <w:rPr>
            <w:rStyle w:val="Hyperlink"/>
          </w:rPr>
          <w:t>laurey.boughey@traidcraft.org</w:t>
        </w:r>
      </w:hyperlink>
      <w:r w:rsidR="00485E6D" w:rsidRPr="00810E73">
        <w:t xml:space="preserve"> or visit </w:t>
      </w:r>
      <w:hyperlink r:id="rId12" w:history="1">
        <w:r w:rsidR="00485E6D" w:rsidRPr="00810E73">
          <w:rPr>
            <w:rStyle w:val="Hyperlink"/>
          </w:rPr>
          <w:t>traidcraftexchange.org</w:t>
        </w:r>
      </w:hyperlink>
    </w:p>
    <w:sectPr w:rsidR="008B1497" w:rsidRPr="0081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18F"/>
    <w:multiLevelType w:val="multilevel"/>
    <w:tmpl w:val="3D1A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3B6CB5"/>
    <w:multiLevelType w:val="hybridMultilevel"/>
    <w:tmpl w:val="6876D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2D"/>
    <w:rsid w:val="00000D59"/>
    <w:rsid w:val="0000291F"/>
    <w:rsid w:val="0000729B"/>
    <w:rsid w:val="00012A8A"/>
    <w:rsid w:val="00013D74"/>
    <w:rsid w:val="000216B7"/>
    <w:rsid w:val="0002376A"/>
    <w:rsid w:val="0003074A"/>
    <w:rsid w:val="00031995"/>
    <w:rsid w:val="00043BF9"/>
    <w:rsid w:val="00046D77"/>
    <w:rsid w:val="00050138"/>
    <w:rsid w:val="000538E5"/>
    <w:rsid w:val="00055A95"/>
    <w:rsid w:val="000608A4"/>
    <w:rsid w:val="00065B7D"/>
    <w:rsid w:val="0006763E"/>
    <w:rsid w:val="00076608"/>
    <w:rsid w:val="00095D34"/>
    <w:rsid w:val="00097CB7"/>
    <w:rsid w:val="000A2DF3"/>
    <w:rsid w:val="000A5B36"/>
    <w:rsid w:val="000A5F02"/>
    <w:rsid w:val="000A71F5"/>
    <w:rsid w:val="000A7837"/>
    <w:rsid w:val="000A7FE7"/>
    <w:rsid w:val="000B12C1"/>
    <w:rsid w:val="000B35D7"/>
    <w:rsid w:val="000C01A5"/>
    <w:rsid w:val="000D6100"/>
    <w:rsid w:val="000E2C83"/>
    <w:rsid w:val="000F3AED"/>
    <w:rsid w:val="000F47CF"/>
    <w:rsid w:val="000F4AFD"/>
    <w:rsid w:val="001045E9"/>
    <w:rsid w:val="00110FDF"/>
    <w:rsid w:val="00114D17"/>
    <w:rsid w:val="001155B9"/>
    <w:rsid w:val="0012172F"/>
    <w:rsid w:val="001402BB"/>
    <w:rsid w:val="00147FC3"/>
    <w:rsid w:val="00152EAE"/>
    <w:rsid w:val="001613EA"/>
    <w:rsid w:val="0017098E"/>
    <w:rsid w:val="00177A9B"/>
    <w:rsid w:val="00194D96"/>
    <w:rsid w:val="001A4FA5"/>
    <w:rsid w:val="001B0D70"/>
    <w:rsid w:val="001B216D"/>
    <w:rsid w:val="001B2379"/>
    <w:rsid w:val="001B2756"/>
    <w:rsid w:val="001C08BB"/>
    <w:rsid w:val="001E542B"/>
    <w:rsid w:val="001F4442"/>
    <w:rsid w:val="001F781C"/>
    <w:rsid w:val="00202B76"/>
    <w:rsid w:val="00203473"/>
    <w:rsid w:val="002131C1"/>
    <w:rsid w:val="00216813"/>
    <w:rsid w:val="002330C9"/>
    <w:rsid w:val="00252707"/>
    <w:rsid w:val="00256D9E"/>
    <w:rsid w:val="00266E14"/>
    <w:rsid w:val="00271016"/>
    <w:rsid w:val="002823E6"/>
    <w:rsid w:val="002871B2"/>
    <w:rsid w:val="0029674D"/>
    <w:rsid w:val="002A0EF1"/>
    <w:rsid w:val="002A5998"/>
    <w:rsid w:val="002B1560"/>
    <w:rsid w:val="002B4B62"/>
    <w:rsid w:val="002B7EED"/>
    <w:rsid w:val="002C096A"/>
    <w:rsid w:val="002C0D95"/>
    <w:rsid w:val="002C52B6"/>
    <w:rsid w:val="002D6D44"/>
    <w:rsid w:val="002D7FE4"/>
    <w:rsid w:val="002E14A6"/>
    <w:rsid w:val="002E5D21"/>
    <w:rsid w:val="002F78A8"/>
    <w:rsid w:val="00316545"/>
    <w:rsid w:val="003223D2"/>
    <w:rsid w:val="00322BCE"/>
    <w:rsid w:val="003231A9"/>
    <w:rsid w:val="00327A0F"/>
    <w:rsid w:val="00332A91"/>
    <w:rsid w:val="00333C9A"/>
    <w:rsid w:val="00345E50"/>
    <w:rsid w:val="003640D4"/>
    <w:rsid w:val="00367708"/>
    <w:rsid w:val="00376CD2"/>
    <w:rsid w:val="00384C62"/>
    <w:rsid w:val="003875C1"/>
    <w:rsid w:val="0039264C"/>
    <w:rsid w:val="00395819"/>
    <w:rsid w:val="003A0005"/>
    <w:rsid w:val="003A1117"/>
    <w:rsid w:val="003B185D"/>
    <w:rsid w:val="003B209F"/>
    <w:rsid w:val="003C0C7A"/>
    <w:rsid w:val="003C133E"/>
    <w:rsid w:val="003C4BAD"/>
    <w:rsid w:val="003E0257"/>
    <w:rsid w:val="003F10E5"/>
    <w:rsid w:val="003F5BC1"/>
    <w:rsid w:val="00410D4E"/>
    <w:rsid w:val="0042321D"/>
    <w:rsid w:val="004246E5"/>
    <w:rsid w:val="00435383"/>
    <w:rsid w:val="00442323"/>
    <w:rsid w:val="00446D9C"/>
    <w:rsid w:val="00456138"/>
    <w:rsid w:val="00481988"/>
    <w:rsid w:val="00483494"/>
    <w:rsid w:val="00485E6D"/>
    <w:rsid w:val="0048644A"/>
    <w:rsid w:val="004A4066"/>
    <w:rsid w:val="004B5F6B"/>
    <w:rsid w:val="004B67C4"/>
    <w:rsid w:val="004C5605"/>
    <w:rsid w:val="004C65BC"/>
    <w:rsid w:val="004D6747"/>
    <w:rsid w:val="004D68CD"/>
    <w:rsid w:val="0050227E"/>
    <w:rsid w:val="00507B9B"/>
    <w:rsid w:val="00511332"/>
    <w:rsid w:val="0052043A"/>
    <w:rsid w:val="005222E4"/>
    <w:rsid w:val="00525AB8"/>
    <w:rsid w:val="0053263E"/>
    <w:rsid w:val="0054335F"/>
    <w:rsid w:val="00543614"/>
    <w:rsid w:val="00556AB1"/>
    <w:rsid w:val="00557BE4"/>
    <w:rsid w:val="00561F7F"/>
    <w:rsid w:val="0057047B"/>
    <w:rsid w:val="00574B9A"/>
    <w:rsid w:val="00590A31"/>
    <w:rsid w:val="005A6F67"/>
    <w:rsid w:val="005B3B6E"/>
    <w:rsid w:val="005D2676"/>
    <w:rsid w:val="005E495E"/>
    <w:rsid w:val="005E53AB"/>
    <w:rsid w:val="005E70B4"/>
    <w:rsid w:val="00603A8B"/>
    <w:rsid w:val="0060511D"/>
    <w:rsid w:val="00611B39"/>
    <w:rsid w:val="0061792D"/>
    <w:rsid w:val="00623EBA"/>
    <w:rsid w:val="0062488F"/>
    <w:rsid w:val="00630A5D"/>
    <w:rsid w:val="006336EE"/>
    <w:rsid w:val="00641482"/>
    <w:rsid w:val="00651A95"/>
    <w:rsid w:val="00654BE7"/>
    <w:rsid w:val="006569BD"/>
    <w:rsid w:val="006611CB"/>
    <w:rsid w:val="00674A50"/>
    <w:rsid w:val="006751AF"/>
    <w:rsid w:val="00675E06"/>
    <w:rsid w:val="00695224"/>
    <w:rsid w:val="006A33D9"/>
    <w:rsid w:val="006B0567"/>
    <w:rsid w:val="006B5E5B"/>
    <w:rsid w:val="006C25FA"/>
    <w:rsid w:val="006C3707"/>
    <w:rsid w:val="006C3BC0"/>
    <w:rsid w:val="006E0227"/>
    <w:rsid w:val="006E0827"/>
    <w:rsid w:val="006E5B7C"/>
    <w:rsid w:val="006E6913"/>
    <w:rsid w:val="006F16C9"/>
    <w:rsid w:val="006F48A5"/>
    <w:rsid w:val="007029A4"/>
    <w:rsid w:val="00716B2D"/>
    <w:rsid w:val="00720B80"/>
    <w:rsid w:val="007235DA"/>
    <w:rsid w:val="007259D9"/>
    <w:rsid w:val="0073202A"/>
    <w:rsid w:val="0073499F"/>
    <w:rsid w:val="00737352"/>
    <w:rsid w:val="00740396"/>
    <w:rsid w:val="00744FDA"/>
    <w:rsid w:val="00750F2C"/>
    <w:rsid w:val="0075441D"/>
    <w:rsid w:val="007624FE"/>
    <w:rsid w:val="00766C5B"/>
    <w:rsid w:val="00767FC9"/>
    <w:rsid w:val="00767FD7"/>
    <w:rsid w:val="00770710"/>
    <w:rsid w:val="007848B9"/>
    <w:rsid w:val="00785F34"/>
    <w:rsid w:val="00795896"/>
    <w:rsid w:val="007A3CAB"/>
    <w:rsid w:val="007A3EF9"/>
    <w:rsid w:val="007B19C1"/>
    <w:rsid w:val="007B3E06"/>
    <w:rsid w:val="007C08B7"/>
    <w:rsid w:val="007D5A42"/>
    <w:rsid w:val="007D7B67"/>
    <w:rsid w:val="007E688C"/>
    <w:rsid w:val="007E760E"/>
    <w:rsid w:val="007F0905"/>
    <w:rsid w:val="007F0E5E"/>
    <w:rsid w:val="008075D4"/>
    <w:rsid w:val="00810E73"/>
    <w:rsid w:val="00815344"/>
    <w:rsid w:val="008262B1"/>
    <w:rsid w:val="008346A8"/>
    <w:rsid w:val="00835F13"/>
    <w:rsid w:val="008377DF"/>
    <w:rsid w:val="008425AA"/>
    <w:rsid w:val="008558A1"/>
    <w:rsid w:val="008905E3"/>
    <w:rsid w:val="00897326"/>
    <w:rsid w:val="008A719E"/>
    <w:rsid w:val="008B1497"/>
    <w:rsid w:val="008B14E3"/>
    <w:rsid w:val="008C08C5"/>
    <w:rsid w:val="008E5EDA"/>
    <w:rsid w:val="008E699F"/>
    <w:rsid w:val="008F0DE8"/>
    <w:rsid w:val="009077D6"/>
    <w:rsid w:val="009131AB"/>
    <w:rsid w:val="00916B3B"/>
    <w:rsid w:val="00927F7C"/>
    <w:rsid w:val="00931AAB"/>
    <w:rsid w:val="00942459"/>
    <w:rsid w:val="009428C0"/>
    <w:rsid w:val="00944CA8"/>
    <w:rsid w:val="009522A7"/>
    <w:rsid w:val="00962A93"/>
    <w:rsid w:val="00970EFF"/>
    <w:rsid w:val="009808B8"/>
    <w:rsid w:val="00982C2A"/>
    <w:rsid w:val="00982E9C"/>
    <w:rsid w:val="00983C27"/>
    <w:rsid w:val="00996A63"/>
    <w:rsid w:val="009979E4"/>
    <w:rsid w:val="009A491F"/>
    <w:rsid w:val="009B2760"/>
    <w:rsid w:val="009B29B9"/>
    <w:rsid w:val="009C4FC8"/>
    <w:rsid w:val="009D4F57"/>
    <w:rsid w:val="009D5B53"/>
    <w:rsid w:val="009E4B4E"/>
    <w:rsid w:val="009F4034"/>
    <w:rsid w:val="009F4B32"/>
    <w:rsid w:val="009F7613"/>
    <w:rsid w:val="00A068AF"/>
    <w:rsid w:val="00A13C7B"/>
    <w:rsid w:val="00A146FA"/>
    <w:rsid w:val="00A20FC4"/>
    <w:rsid w:val="00A2240D"/>
    <w:rsid w:val="00A25118"/>
    <w:rsid w:val="00A254A9"/>
    <w:rsid w:val="00A3576A"/>
    <w:rsid w:val="00A36608"/>
    <w:rsid w:val="00A40725"/>
    <w:rsid w:val="00A42472"/>
    <w:rsid w:val="00A43D83"/>
    <w:rsid w:val="00A53F5A"/>
    <w:rsid w:val="00A70F64"/>
    <w:rsid w:val="00A71763"/>
    <w:rsid w:val="00A72CE6"/>
    <w:rsid w:val="00AB4A8A"/>
    <w:rsid w:val="00AB5774"/>
    <w:rsid w:val="00AC0C74"/>
    <w:rsid w:val="00AE57D0"/>
    <w:rsid w:val="00AE7638"/>
    <w:rsid w:val="00B008FD"/>
    <w:rsid w:val="00B02671"/>
    <w:rsid w:val="00B027EB"/>
    <w:rsid w:val="00B05D28"/>
    <w:rsid w:val="00B0600D"/>
    <w:rsid w:val="00B12151"/>
    <w:rsid w:val="00B166AA"/>
    <w:rsid w:val="00B23FF6"/>
    <w:rsid w:val="00B261CE"/>
    <w:rsid w:val="00B35752"/>
    <w:rsid w:val="00B37183"/>
    <w:rsid w:val="00B43CB1"/>
    <w:rsid w:val="00B44A79"/>
    <w:rsid w:val="00B475E1"/>
    <w:rsid w:val="00B558DA"/>
    <w:rsid w:val="00BA1D7D"/>
    <w:rsid w:val="00BA2A17"/>
    <w:rsid w:val="00BA2B9D"/>
    <w:rsid w:val="00BA32C9"/>
    <w:rsid w:val="00BB0D78"/>
    <w:rsid w:val="00BD059E"/>
    <w:rsid w:val="00BD39DC"/>
    <w:rsid w:val="00BD5FA8"/>
    <w:rsid w:val="00BE107B"/>
    <w:rsid w:val="00BF2C93"/>
    <w:rsid w:val="00BF3D80"/>
    <w:rsid w:val="00BF6375"/>
    <w:rsid w:val="00C00F9B"/>
    <w:rsid w:val="00C014E0"/>
    <w:rsid w:val="00C043B3"/>
    <w:rsid w:val="00C059A0"/>
    <w:rsid w:val="00C145AC"/>
    <w:rsid w:val="00C16AC1"/>
    <w:rsid w:val="00C220F5"/>
    <w:rsid w:val="00C23CA9"/>
    <w:rsid w:val="00C25DF4"/>
    <w:rsid w:val="00C2755C"/>
    <w:rsid w:val="00C56C73"/>
    <w:rsid w:val="00C657BC"/>
    <w:rsid w:val="00C66FE6"/>
    <w:rsid w:val="00C6722C"/>
    <w:rsid w:val="00C676EB"/>
    <w:rsid w:val="00C81869"/>
    <w:rsid w:val="00C8383B"/>
    <w:rsid w:val="00C973AC"/>
    <w:rsid w:val="00CA049C"/>
    <w:rsid w:val="00CA4399"/>
    <w:rsid w:val="00CA4407"/>
    <w:rsid w:val="00CA7AB7"/>
    <w:rsid w:val="00CB38FD"/>
    <w:rsid w:val="00CD10EE"/>
    <w:rsid w:val="00CE299D"/>
    <w:rsid w:val="00CE545F"/>
    <w:rsid w:val="00CF1D35"/>
    <w:rsid w:val="00CF3462"/>
    <w:rsid w:val="00D04F54"/>
    <w:rsid w:val="00D24759"/>
    <w:rsid w:val="00D26261"/>
    <w:rsid w:val="00D36721"/>
    <w:rsid w:val="00D46C43"/>
    <w:rsid w:val="00D530F9"/>
    <w:rsid w:val="00D651D4"/>
    <w:rsid w:val="00D75D6F"/>
    <w:rsid w:val="00D83477"/>
    <w:rsid w:val="00D96F41"/>
    <w:rsid w:val="00DA1B1C"/>
    <w:rsid w:val="00DA3470"/>
    <w:rsid w:val="00DB61B2"/>
    <w:rsid w:val="00DD2BDA"/>
    <w:rsid w:val="00DE39B5"/>
    <w:rsid w:val="00DE4817"/>
    <w:rsid w:val="00DF00F2"/>
    <w:rsid w:val="00DF01A4"/>
    <w:rsid w:val="00DF2FBB"/>
    <w:rsid w:val="00DF5D91"/>
    <w:rsid w:val="00E008F5"/>
    <w:rsid w:val="00E00E04"/>
    <w:rsid w:val="00E022CF"/>
    <w:rsid w:val="00E02AE5"/>
    <w:rsid w:val="00E0765C"/>
    <w:rsid w:val="00E16E78"/>
    <w:rsid w:val="00E22227"/>
    <w:rsid w:val="00E24C3A"/>
    <w:rsid w:val="00E26926"/>
    <w:rsid w:val="00E337BF"/>
    <w:rsid w:val="00E36498"/>
    <w:rsid w:val="00E4118F"/>
    <w:rsid w:val="00E50385"/>
    <w:rsid w:val="00E505B2"/>
    <w:rsid w:val="00E606AF"/>
    <w:rsid w:val="00E730E4"/>
    <w:rsid w:val="00E8726C"/>
    <w:rsid w:val="00E90491"/>
    <w:rsid w:val="00EA0590"/>
    <w:rsid w:val="00EA764B"/>
    <w:rsid w:val="00EC4A5E"/>
    <w:rsid w:val="00EC7AFF"/>
    <w:rsid w:val="00ED7C6A"/>
    <w:rsid w:val="00ED7EE2"/>
    <w:rsid w:val="00EE6F80"/>
    <w:rsid w:val="00EF6178"/>
    <w:rsid w:val="00F000F5"/>
    <w:rsid w:val="00F01E82"/>
    <w:rsid w:val="00F02BCD"/>
    <w:rsid w:val="00F04244"/>
    <w:rsid w:val="00F06305"/>
    <w:rsid w:val="00F06D88"/>
    <w:rsid w:val="00F10AFE"/>
    <w:rsid w:val="00F26C1E"/>
    <w:rsid w:val="00F276A4"/>
    <w:rsid w:val="00F27944"/>
    <w:rsid w:val="00F279E4"/>
    <w:rsid w:val="00F412AA"/>
    <w:rsid w:val="00F50707"/>
    <w:rsid w:val="00F517BF"/>
    <w:rsid w:val="00F571D4"/>
    <w:rsid w:val="00F77860"/>
    <w:rsid w:val="00F949F5"/>
    <w:rsid w:val="00FA45E5"/>
    <w:rsid w:val="00FC40D4"/>
    <w:rsid w:val="00FE1B07"/>
    <w:rsid w:val="00FE67E0"/>
    <w:rsid w:val="00FF305E"/>
    <w:rsid w:val="00FF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CC93"/>
  <w15:chartTrackingRefBased/>
  <w15:docId w15:val="{8963E3F9-8216-4CE1-B043-F3D3F6F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9F"/>
    <w:rPr>
      <w:color w:val="0563C1" w:themeColor="hyperlink"/>
      <w:u w:val="single"/>
    </w:rPr>
  </w:style>
  <w:style w:type="character" w:styleId="UnresolvedMention">
    <w:name w:val="Unresolved Mention"/>
    <w:basedOn w:val="DefaultParagraphFont"/>
    <w:uiPriority w:val="99"/>
    <w:semiHidden/>
    <w:unhideWhenUsed/>
    <w:rsid w:val="0073499F"/>
    <w:rPr>
      <w:color w:val="605E5C"/>
      <w:shd w:val="clear" w:color="auto" w:fill="E1DFDD"/>
    </w:rPr>
  </w:style>
  <w:style w:type="paragraph" w:styleId="ListParagraph">
    <w:name w:val="List Paragraph"/>
    <w:basedOn w:val="Normal"/>
    <w:uiPriority w:val="34"/>
    <w:qFormat/>
    <w:rsid w:val="00BA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9693">
      <w:bodyDiv w:val="1"/>
      <w:marLeft w:val="0"/>
      <w:marRight w:val="0"/>
      <w:marTop w:val="0"/>
      <w:marBottom w:val="0"/>
      <w:divBdr>
        <w:top w:val="none" w:sz="0" w:space="0" w:color="auto"/>
        <w:left w:val="none" w:sz="0" w:space="0" w:color="auto"/>
        <w:bottom w:val="none" w:sz="0" w:space="0" w:color="auto"/>
        <w:right w:val="none" w:sz="0" w:space="0" w:color="auto"/>
      </w:divBdr>
    </w:div>
    <w:div w:id="910238817">
      <w:bodyDiv w:val="1"/>
      <w:marLeft w:val="0"/>
      <w:marRight w:val="0"/>
      <w:marTop w:val="0"/>
      <w:marBottom w:val="0"/>
      <w:divBdr>
        <w:top w:val="none" w:sz="0" w:space="0" w:color="auto"/>
        <w:left w:val="none" w:sz="0" w:space="0" w:color="auto"/>
        <w:bottom w:val="none" w:sz="0" w:space="0" w:color="auto"/>
        <w:right w:val="none" w:sz="0" w:space="0" w:color="auto"/>
      </w:divBdr>
    </w:div>
    <w:div w:id="1462070270">
      <w:bodyDiv w:val="1"/>
      <w:marLeft w:val="0"/>
      <w:marRight w:val="0"/>
      <w:marTop w:val="0"/>
      <w:marBottom w:val="0"/>
      <w:divBdr>
        <w:top w:val="none" w:sz="0" w:space="0" w:color="auto"/>
        <w:left w:val="none" w:sz="0" w:space="0" w:color="auto"/>
        <w:bottom w:val="none" w:sz="0" w:space="0" w:color="auto"/>
        <w:right w:val="none" w:sz="0" w:space="0" w:color="auto"/>
      </w:divBdr>
      <w:divsChild>
        <w:div w:id="36438708">
          <w:marLeft w:val="0"/>
          <w:marRight w:val="0"/>
          <w:marTop w:val="0"/>
          <w:marBottom w:val="300"/>
          <w:divBdr>
            <w:top w:val="none" w:sz="0" w:space="0" w:color="auto"/>
            <w:left w:val="none" w:sz="0" w:space="0" w:color="auto"/>
            <w:bottom w:val="none" w:sz="0" w:space="0" w:color="auto"/>
            <w:right w:val="none" w:sz="0" w:space="0" w:color="auto"/>
          </w:divBdr>
          <w:divsChild>
            <w:div w:id="187711271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649700908">
      <w:bodyDiv w:val="1"/>
      <w:marLeft w:val="0"/>
      <w:marRight w:val="0"/>
      <w:marTop w:val="0"/>
      <w:marBottom w:val="0"/>
      <w:divBdr>
        <w:top w:val="none" w:sz="0" w:space="0" w:color="auto"/>
        <w:left w:val="none" w:sz="0" w:space="0" w:color="auto"/>
        <w:bottom w:val="none" w:sz="0" w:space="0" w:color="auto"/>
        <w:right w:val="none" w:sz="0" w:space="0" w:color="auto"/>
      </w:divBdr>
    </w:div>
    <w:div w:id="19826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economy.com.au/australia-ranked-dead-last-in-world-for-climate-action-in-latest-un-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imateactiontracker.org/countries/australia/" TargetMode="External"/><Relationship Id="rId12" Type="http://schemas.openxmlformats.org/officeDocument/2006/relationships/hyperlink" Target="https://traidcraftexchan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sastertrade.org/" TargetMode="External"/><Relationship Id="rId11" Type="http://schemas.openxmlformats.org/officeDocument/2006/relationships/hyperlink" Target="mailto:laurey.boughey@traidcraft.org" TargetMode="External"/><Relationship Id="rId5" Type="http://schemas.openxmlformats.org/officeDocument/2006/relationships/webSettings" Target="webSettings.xml"/><Relationship Id="rId10" Type="http://schemas.openxmlformats.org/officeDocument/2006/relationships/hyperlink" Target="https://wwf.panda.org/discover/our_focus/forests_practice/deforestation_fronts_/" TargetMode="External"/><Relationship Id="rId4" Type="http://schemas.openxmlformats.org/officeDocument/2006/relationships/settings" Target="settings.xml"/><Relationship Id="rId9" Type="http://schemas.openxmlformats.org/officeDocument/2006/relationships/hyperlink" Target="https://data.worldbank.org/indicator/EN.ATM.CO2E.PC?most_recent_value_desc=fal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5611-C844-492B-916B-C61D8B78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5</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Laurey Boughey</dc:creator>
  <cp:keywords/>
  <dc:description/>
  <cp:lastModifiedBy>Laurey Boughey</cp:lastModifiedBy>
  <cp:revision>392</cp:revision>
  <dcterms:created xsi:type="dcterms:W3CDTF">2022-01-14T14:04:00Z</dcterms:created>
  <dcterms:modified xsi:type="dcterms:W3CDTF">2022-01-16T16:42:00Z</dcterms:modified>
</cp:coreProperties>
</file>